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40" w:lineRule="atLeast"/>
        <w:ind w:firstLine="420"/>
        <w:jc w:val="center"/>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lang w:eastAsia="zh-CN"/>
        </w:rPr>
        <w:t>附件</w:t>
      </w:r>
      <w:r>
        <w:rPr>
          <w:rFonts w:hint="eastAsia" w:ascii="宋体" w:hAnsi="宋体" w:eastAsia="宋体" w:cs="宋体"/>
          <w:b/>
          <w:bCs/>
          <w:sz w:val="28"/>
          <w:szCs w:val="28"/>
          <w:shd w:val="clear" w:color="auto" w:fill="FFFFFF"/>
          <w:lang w:val="en-US" w:eastAsia="zh-CN"/>
        </w:rPr>
        <w:t>6：</w:t>
      </w:r>
      <w:r>
        <w:rPr>
          <w:rFonts w:hint="eastAsia" w:ascii="宋体" w:hAnsi="宋体" w:eastAsia="宋体" w:cs="宋体"/>
          <w:b/>
          <w:bCs/>
          <w:sz w:val="28"/>
          <w:szCs w:val="28"/>
          <w:shd w:val="clear" w:color="auto" w:fill="FFFFFF"/>
        </w:rPr>
        <w:t>宝鸡文理学院教学奖励实施办法（修订稿）(部分摘录)</w:t>
      </w:r>
    </w:p>
    <w:p>
      <w:pPr>
        <w:pStyle w:val="2"/>
        <w:widowControl/>
        <w:shd w:val="clear" w:color="auto" w:fill="FFFFFF"/>
        <w:jc w:val="center"/>
        <w:rPr>
          <w:rFonts w:hint="default" w:cs="宋体"/>
          <w:b w:val="0"/>
          <w:sz w:val="24"/>
          <w:szCs w:val="24"/>
          <w:shd w:val="clear" w:color="auto" w:fill="FFFFFF"/>
        </w:rPr>
      </w:pPr>
      <w:r>
        <w:rPr>
          <w:rFonts w:cs="宋体"/>
          <w:sz w:val="21"/>
          <w:szCs w:val="21"/>
          <w:shd w:val="clear" w:color="auto" w:fill="FFFFFF"/>
        </w:rPr>
        <w:t>宝文理院教字[2017]2号</w:t>
      </w:r>
    </w:p>
    <w:p>
      <w:pPr>
        <w:pStyle w:val="3"/>
        <w:widowControl/>
        <w:spacing w:line="540" w:lineRule="atLeast"/>
        <w:ind w:firstLine="420"/>
        <w:jc w:val="center"/>
        <w:rPr>
          <w:rFonts w:ascii="宋体" w:hAnsi="宋体" w:eastAsia="宋体" w:cs="宋体"/>
          <w:sz w:val="21"/>
          <w:szCs w:val="21"/>
        </w:rPr>
      </w:pPr>
      <w:r>
        <w:rPr>
          <w:rStyle w:val="5"/>
          <w:rFonts w:hint="eastAsia" w:ascii="宋体" w:hAnsi="宋体" w:eastAsia="宋体" w:cs="宋体"/>
          <w:shd w:val="clear" w:color="auto" w:fill="FFFFFF"/>
        </w:rPr>
        <w:t>第二章 优秀教学成果类</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第五条</w:t>
      </w:r>
      <w:r>
        <w:rPr>
          <w:rFonts w:hint="eastAsia" w:ascii="宋体" w:hAnsi="宋体" w:eastAsia="宋体" w:cs="宋体"/>
          <w:sz w:val="28"/>
          <w:szCs w:val="28"/>
          <w:shd w:val="clear" w:color="auto" w:fill="FFFFFF"/>
        </w:rPr>
        <w:t> 优秀教学成果类奖励包括高等教育教学成果奖励、基础教育教学成果奖励和高等学校教材奖励。</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第六条</w:t>
      </w:r>
      <w:r>
        <w:rPr>
          <w:rFonts w:hint="eastAsia" w:ascii="宋体" w:hAnsi="宋体" w:eastAsia="宋体" w:cs="宋体"/>
          <w:sz w:val="28"/>
          <w:szCs w:val="28"/>
          <w:shd w:val="clear" w:color="auto" w:fill="FFFFFF"/>
        </w:rPr>
        <w:t> 奖励标准（单位：万元）</w:t>
      </w:r>
    </w:p>
    <w:p>
      <w:pPr>
        <w:pStyle w:val="3"/>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（一）高等教育教学成果</w:t>
      </w:r>
    </w:p>
    <w:tbl>
      <w:tblPr>
        <w:tblStyle w:val="7"/>
        <w:tblW w:w="8388" w:type="dxa"/>
        <w:jc w:val="center"/>
        <w:tblCellSpacing w:w="0" w:type="dxa"/>
        <w:tblInd w:w="1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3"/>
        <w:gridCol w:w="1623"/>
        <w:gridCol w:w="1785"/>
        <w:gridCol w:w="1815"/>
        <w:gridCol w:w="1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0" w:hRule="atLeast"/>
          <w:tblCellSpacing w:w="0" w:type="dxa"/>
          <w:jc w:val="center"/>
        </w:trPr>
        <w:tc>
          <w:tcPr>
            <w:tcW w:w="180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获奖等次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tc>
        <w:tc>
          <w:tcPr>
            <w:tcW w:w="162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特等</w:t>
            </w:r>
          </w:p>
        </w:tc>
        <w:tc>
          <w:tcPr>
            <w:tcW w:w="178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一等</w:t>
            </w:r>
          </w:p>
        </w:tc>
        <w:tc>
          <w:tcPr>
            <w:tcW w:w="181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二等</w:t>
            </w:r>
          </w:p>
        </w:tc>
        <w:tc>
          <w:tcPr>
            <w:tcW w:w="136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0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国家级教学成果奖</w:t>
            </w:r>
          </w:p>
        </w:tc>
        <w:tc>
          <w:tcPr>
            <w:tcW w:w="162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100</w:t>
            </w:r>
          </w:p>
        </w:tc>
        <w:tc>
          <w:tcPr>
            <w:tcW w:w="178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80</w:t>
            </w:r>
          </w:p>
        </w:tc>
        <w:tc>
          <w:tcPr>
            <w:tcW w:w="181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30</w:t>
            </w:r>
          </w:p>
        </w:tc>
        <w:tc>
          <w:tcPr>
            <w:tcW w:w="1362" w:type="dxa"/>
            <w:shd w:val="clear" w:color="auto" w:fill="auto"/>
            <w:vAlign w:val="center"/>
          </w:tcPr>
          <w:p>
            <w:pPr>
              <w:jc w:val="center"/>
              <w:rPr>
                <w:rFonts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0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陕西省高等教育教学成果奖</w:t>
            </w:r>
          </w:p>
        </w:tc>
        <w:tc>
          <w:tcPr>
            <w:tcW w:w="162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20</w:t>
            </w:r>
          </w:p>
        </w:tc>
        <w:tc>
          <w:tcPr>
            <w:tcW w:w="178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10</w:t>
            </w:r>
          </w:p>
        </w:tc>
        <w:tc>
          <w:tcPr>
            <w:tcW w:w="181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1362" w:type="dxa"/>
            <w:shd w:val="clear" w:color="auto" w:fill="auto"/>
            <w:vAlign w:val="center"/>
          </w:tcPr>
          <w:p>
            <w:pPr>
              <w:jc w:val="center"/>
              <w:rPr>
                <w:rFonts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0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学校教学成果奖</w:t>
            </w:r>
          </w:p>
        </w:tc>
        <w:tc>
          <w:tcPr>
            <w:tcW w:w="1623"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8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0.8</w:t>
            </w:r>
          </w:p>
        </w:tc>
        <w:tc>
          <w:tcPr>
            <w:tcW w:w="181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0.6</w:t>
            </w:r>
          </w:p>
        </w:tc>
        <w:tc>
          <w:tcPr>
            <w:tcW w:w="136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0.4</w:t>
            </w:r>
          </w:p>
        </w:tc>
      </w:tr>
    </w:tbl>
    <w:p>
      <w:pPr>
        <w:pStyle w:val="3"/>
        <w:widowControl/>
        <w:numPr>
          <w:ilvl w:val="0"/>
          <w:numId w:val="1"/>
        </w:numPr>
        <w:spacing w:line="540" w:lineRule="atLeas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基础教育教学成果</w:t>
      </w:r>
    </w:p>
    <w:p>
      <w:pPr>
        <w:pStyle w:val="3"/>
        <w:widowControl/>
        <w:spacing w:line="540" w:lineRule="atLeast"/>
        <w:rPr>
          <w:rFonts w:ascii="宋体" w:hAnsi="宋体" w:eastAsia="宋体" w:cs="宋体"/>
          <w:sz w:val="28"/>
          <w:szCs w:val="28"/>
          <w:shd w:val="clear" w:color="auto" w:fill="FFFFFF"/>
        </w:rPr>
      </w:pPr>
    </w:p>
    <w:tbl>
      <w:tblPr>
        <w:tblStyle w:val="7"/>
        <w:tblW w:w="7964" w:type="dxa"/>
        <w:jc w:val="center"/>
        <w:tblCellSpacing w:w="0" w:type="dxa"/>
        <w:tblInd w:w="1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384"/>
        <w:gridCol w:w="1886"/>
        <w:gridCol w:w="2160"/>
        <w:gridCol w:w="15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8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获奖等次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tc>
        <w:tc>
          <w:tcPr>
            <w:tcW w:w="188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一等</w:t>
            </w:r>
          </w:p>
        </w:tc>
        <w:tc>
          <w:tcPr>
            <w:tcW w:w="216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二等</w:t>
            </w:r>
          </w:p>
        </w:tc>
        <w:tc>
          <w:tcPr>
            <w:tcW w:w="153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8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陕西省基础教育教学成果</w:t>
            </w:r>
          </w:p>
        </w:tc>
        <w:tc>
          <w:tcPr>
            <w:tcW w:w="188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216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0.8</w:t>
            </w:r>
          </w:p>
        </w:tc>
        <w:tc>
          <w:tcPr>
            <w:tcW w:w="153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r>
    </w:tbl>
    <w:p>
      <w:pPr>
        <w:pStyle w:val="3"/>
        <w:widowControl/>
        <w:spacing w:line="540" w:lineRule="atLeast"/>
        <w:rPr>
          <w:rFonts w:ascii="宋体" w:hAnsi="宋体" w:eastAsia="宋体" w:cs="宋体"/>
          <w:sz w:val="28"/>
          <w:szCs w:val="28"/>
        </w:rPr>
      </w:pPr>
      <w:r>
        <w:rPr>
          <w:rFonts w:hint="eastAsia" w:ascii="宋体" w:hAnsi="宋体" w:eastAsia="宋体" w:cs="宋体"/>
          <w:sz w:val="28"/>
          <w:szCs w:val="28"/>
          <w:shd w:val="clear" w:color="auto" w:fill="FFFFFF"/>
        </w:rPr>
        <w:t>（三）高等学校教材</w:t>
      </w:r>
    </w:p>
    <w:tbl>
      <w:tblPr>
        <w:tblStyle w:val="7"/>
        <w:tblW w:w="7963" w:type="dxa"/>
        <w:jc w:val="center"/>
        <w:tblCellSpacing w:w="0" w:type="dxa"/>
        <w:tblInd w:w="1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28"/>
        <w:gridCol w:w="2022"/>
        <w:gridCol w:w="2205"/>
        <w:gridCol w:w="1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2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获奖等次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tc>
        <w:tc>
          <w:tcPr>
            <w:tcW w:w="202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一等</w:t>
            </w:r>
          </w:p>
        </w:tc>
        <w:tc>
          <w:tcPr>
            <w:tcW w:w="220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二等</w:t>
            </w:r>
          </w:p>
        </w:tc>
        <w:tc>
          <w:tcPr>
            <w:tcW w:w="130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2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国家级规划教材</w:t>
            </w:r>
          </w:p>
        </w:tc>
        <w:tc>
          <w:tcPr>
            <w:tcW w:w="5535" w:type="dxa"/>
            <w:gridSpan w:val="3"/>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2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陕西省高等学校优秀教材</w:t>
            </w:r>
          </w:p>
        </w:tc>
        <w:tc>
          <w:tcPr>
            <w:tcW w:w="202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220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130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63" w:type="dxa"/>
            <w:gridSpan w:val="4"/>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教师担任副主编或参编的教材荣获国家级规划教材、省级优秀教材，视其具体情况给予适当比例的奖励。</w:t>
            </w:r>
          </w:p>
        </w:tc>
      </w:tr>
    </w:tbl>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shd w:val="clear" w:color="auto" w:fill="FFFFFF"/>
        </w:rPr>
        <w:t>第三章 教学建设与改革类</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第七条</w:t>
      </w:r>
      <w:r>
        <w:rPr>
          <w:rFonts w:hint="eastAsia" w:ascii="宋体" w:hAnsi="宋体" w:eastAsia="宋体" w:cs="宋体"/>
          <w:sz w:val="28"/>
          <w:szCs w:val="28"/>
          <w:shd w:val="clear" w:color="auto" w:fill="FFFFFF"/>
        </w:rPr>
        <w:t> 教学建设与改革类奖励包括高等教育教学改革研究项目奖励、课程建设奖励、教师队伍建设奖励。</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第八条</w:t>
      </w:r>
      <w:r>
        <w:rPr>
          <w:rFonts w:hint="eastAsia" w:ascii="宋体" w:hAnsi="宋体" w:eastAsia="宋体" w:cs="宋体"/>
          <w:sz w:val="28"/>
          <w:szCs w:val="28"/>
          <w:shd w:val="clear" w:color="auto" w:fill="FFFFFF"/>
        </w:rPr>
        <w:t> 奖励标准（单位：万元）</w:t>
      </w:r>
    </w:p>
    <w:p>
      <w:pPr>
        <w:pStyle w:val="3"/>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（一）高等教育教学改革研究项目</w:t>
      </w:r>
    </w:p>
    <w:tbl>
      <w:tblPr>
        <w:tblStyle w:val="7"/>
        <w:tblW w:w="7963" w:type="dxa"/>
        <w:jc w:val="center"/>
        <w:tblCellSpacing w:w="0" w:type="dxa"/>
        <w:tblInd w:w="1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398"/>
        <w:gridCol w:w="2046"/>
        <w:gridCol w:w="2010"/>
        <w:gridCol w:w="15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项目类别</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tc>
        <w:tc>
          <w:tcPr>
            <w:tcW w:w="2046"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重点</w:t>
            </w:r>
          </w:p>
        </w:tc>
        <w:tc>
          <w:tcPr>
            <w:tcW w:w="2010"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一般</w:t>
            </w:r>
          </w:p>
        </w:tc>
        <w:tc>
          <w:tcPr>
            <w:tcW w:w="1509"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专项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陕西省高等教育教学改革研究项目</w:t>
            </w:r>
          </w:p>
        </w:tc>
        <w:tc>
          <w:tcPr>
            <w:tcW w:w="204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2</w:t>
            </w:r>
          </w:p>
        </w:tc>
        <w:tc>
          <w:tcPr>
            <w:tcW w:w="201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150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r>
    </w:tbl>
    <w:p>
      <w:pPr>
        <w:pStyle w:val="3"/>
        <w:widowControl/>
        <w:spacing w:line="540" w:lineRule="atLeast"/>
        <w:rPr>
          <w:rFonts w:ascii="宋体" w:hAnsi="宋体" w:eastAsia="宋体" w:cs="宋体"/>
          <w:sz w:val="28"/>
          <w:szCs w:val="28"/>
        </w:rPr>
      </w:pPr>
      <w:r>
        <w:rPr>
          <w:rFonts w:hint="eastAsia" w:ascii="宋体" w:hAnsi="宋体" w:eastAsia="宋体" w:cs="宋体"/>
          <w:sz w:val="28"/>
          <w:szCs w:val="28"/>
          <w:shd w:val="clear" w:color="auto" w:fill="FFFFFF"/>
        </w:rPr>
        <w:t>（二）课程建设</w:t>
      </w:r>
    </w:p>
    <w:tbl>
      <w:tblPr>
        <w:tblStyle w:val="7"/>
        <w:tblW w:w="7963" w:type="dxa"/>
        <w:jc w:val="center"/>
        <w:tblCellSpacing w:w="0" w:type="dxa"/>
        <w:tblInd w:w="1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00"/>
        <w:gridCol w:w="2474"/>
        <w:gridCol w:w="22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0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项目名称</w:t>
            </w:r>
          </w:p>
        </w:tc>
        <w:tc>
          <w:tcPr>
            <w:tcW w:w="2474"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国家级</w:t>
            </w:r>
          </w:p>
        </w:tc>
        <w:tc>
          <w:tcPr>
            <w:tcW w:w="2289"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省级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0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精品视频公开课</w:t>
            </w:r>
          </w:p>
        </w:tc>
        <w:tc>
          <w:tcPr>
            <w:tcW w:w="247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228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0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精品资源共享课</w:t>
            </w:r>
          </w:p>
        </w:tc>
        <w:tc>
          <w:tcPr>
            <w:tcW w:w="247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228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0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创新创业类精品资源共享课程</w:t>
            </w:r>
          </w:p>
        </w:tc>
        <w:tc>
          <w:tcPr>
            <w:tcW w:w="247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228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0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在线课程（慕课）</w:t>
            </w:r>
          </w:p>
        </w:tc>
        <w:tc>
          <w:tcPr>
            <w:tcW w:w="247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228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bl>
    <w:p>
      <w:pPr>
        <w:pStyle w:val="3"/>
        <w:widowControl/>
        <w:spacing w:line="540" w:lineRule="atLeast"/>
        <w:rPr>
          <w:rFonts w:ascii="宋体" w:hAnsi="宋体" w:eastAsia="宋体" w:cs="宋体"/>
          <w:sz w:val="28"/>
          <w:szCs w:val="28"/>
        </w:rPr>
      </w:pPr>
      <w:r>
        <w:rPr>
          <w:rFonts w:hint="eastAsia" w:ascii="宋体" w:hAnsi="宋体" w:eastAsia="宋体" w:cs="宋体"/>
          <w:sz w:val="28"/>
          <w:szCs w:val="28"/>
          <w:shd w:val="clear" w:color="auto" w:fill="FFFFFF"/>
        </w:rPr>
        <w:t>（三）教师队伍建设</w:t>
      </w:r>
    </w:p>
    <w:tbl>
      <w:tblPr>
        <w:tblStyle w:val="7"/>
        <w:tblW w:w="7963" w:type="dxa"/>
        <w:jc w:val="center"/>
        <w:tblCellSpacing w:w="0" w:type="dxa"/>
        <w:tblInd w:w="1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398"/>
        <w:gridCol w:w="1836"/>
        <w:gridCol w:w="2265"/>
        <w:gridCol w:w="14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项目级别</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项目名称</w:t>
            </w:r>
          </w:p>
        </w:tc>
        <w:tc>
          <w:tcPr>
            <w:tcW w:w="1836"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国家级</w:t>
            </w:r>
          </w:p>
        </w:tc>
        <w:tc>
          <w:tcPr>
            <w:tcW w:w="2265"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省级</w:t>
            </w:r>
          </w:p>
        </w:tc>
        <w:tc>
          <w:tcPr>
            <w:tcW w:w="1464"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校级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教学名师</w:t>
            </w:r>
          </w:p>
        </w:tc>
        <w:tc>
          <w:tcPr>
            <w:tcW w:w="183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10</w:t>
            </w:r>
          </w:p>
        </w:tc>
        <w:tc>
          <w:tcPr>
            <w:tcW w:w="226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146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师德先进</w:t>
            </w:r>
          </w:p>
        </w:tc>
        <w:tc>
          <w:tcPr>
            <w:tcW w:w="183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226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2</w:t>
            </w:r>
          </w:p>
        </w:tc>
        <w:tc>
          <w:tcPr>
            <w:tcW w:w="146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3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教学质量优秀奖</w:t>
            </w:r>
          </w:p>
        </w:tc>
        <w:tc>
          <w:tcPr>
            <w:tcW w:w="1836" w:type="dxa"/>
            <w:shd w:val="clear" w:color="auto" w:fill="auto"/>
            <w:vAlign w:val="center"/>
          </w:tcPr>
          <w:p>
            <w:pPr>
              <w:jc w:val="center"/>
              <w:rPr>
                <w:rFonts w:ascii="宋体" w:hAnsi="宋体" w:eastAsia="宋体" w:cs="宋体"/>
                <w:sz w:val="28"/>
                <w:szCs w:val="28"/>
              </w:rPr>
            </w:pPr>
          </w:p>
        </w:tc>
        <w:tc>
          <w:tcPr>
            <w:tcW w:w="2265" w:type="dxa"/>
            <w:shd w:val="clear" w:color="auto" w:fill="auto"/>
            <w:vAlign w:val="center"/>
          </w:tcPr>
          <w:p>
            <w:pPr>
              <w:jc w:val="center"/>
              <w:rPr>
                <w:rFonts w:ascii="宋体" w:hAnsi="宋体" w:eastAsia="宋体" w:cs="宋体"/>
                <w:sz w:val="28"/>
                <w:szCs w:val="28"/>
              </w:rPr>
            </w:pPr>
          </w:p>
        </w:tc>
        <w:tc>
          <w:tcPr>
            <w:tcW w:w="1464"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0.2</w:t>
            </w:r>
          </w:p>
        </w:tc>
      </w:tr>
    </w:tbl>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shd w:val="clear" w:color="auto" w:fill="FFFFFF"/>
        </w:rPr>
        <w:t>第四章 教学竞赛和实践指导类</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第九条</w:t>
      </w:r>
      <w:r>
        <w:rPr>
          <w:rFonts w:hint="eastAsia" w:ascii="宋体" w:hAnsi="宋体" w:eastAsia="宋体" w:cs="宋体"/>
          <w:sz w:val="28"/>
          <w:szCs w:val="28"/>
          <w:shd w:val="clear" w:color="auto" w:fill="FFFFFF"/>
        </w:rPr>
        <w:t>教学竞赛和实践指导类奖励包括教师讲课竞赛、微课比赛、校级本科生和研究生优秀毕业论文（设计）指导教师。</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第十条</w:t>
      </w:r>
      <w:r>
        <w:rPr>
          <w:rFonts w:hint="eastAsia" w:ascii="宋体" w:hAnsi="宋体" w:eastAsia="宋体" w:cs="宋体"/>
          <w:sz w:val="28"/>
          <w:szCs w:val="28"/>
          <w:shd w:val="clear" w:color="auto" w:fill="FFFFFF"/>
        </w:rPr>
        <w:t> 奖励标准（单位：万元）</w:t>
      </w:r>
    </w:p>
    <w:p>
      <w:pPr>
        <w:pStyle w:val="3"/>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（一）讲课竞赛、微课比赛</w:t>
      </w:r>
    </w:p>
    <w:tbl>
      <w:tblPr>
        <w:tblStyle w:val="7"/>
        <w:tblW w:w="8655" w:type="dxa"/>
        <w:jc w:val="center"/>
        <w:tblCellSpacing w:w="0" w:type="dxa"/>
        <w:tblInd w:w="-1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7"/>
        <w:gridCol w:w="797"/>
        <w:gridCol w:w="797"/>
        <w:gridCol w:w="811"/>
        <w:gridCol w:w="811"/>
        <w:gridCol w:w="811"/>
        <w:gridCol w:w="811"/>
        <w:gridCol w:w="811"/>
        <w:gridCol w:w="811"/>
        <w:gridCol w:w="806"/>
        <w:gridCol w:w="5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7" w:type="dxa"/>
            <w:vMerge w:val="restart"/>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级别及获</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奖等次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项目名称</w:t>
            </w:r>
          </w:p>
        </w:tc>
        <w:tc>
          <w:tcPr>
            <w:tcW w:w="2405" w:type="dxa"/>
            <w:gridSpan w:val="3"/>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国家级</w:t>
            </w:r>
          </w:p>
        </w:tc>
        <w:tc>
          <w:tcPr>
            <w:tcW w:w="3244" w:type="dxa"/>
            <w:gridSpan w:val="4"/>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省级</w:t>
            </w:r>
          </w:p>
        </w:tc>
        <w:tc>
          <w:tcPr>
            <w:tcW w:w="2209" w:type="dxa"/>
            <w:gridSpan w:val="3"/>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校级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7" w:type="dxa"/>
            <w:vMerge w:val="continue"/>
            <w:shd w:val="clear" w:color="auto" w:fill="auto"/>
            <w:vAlign w:val="center"/>
          </w:tcPr>
          <w:p>
            <w:pPr>
              <w:jc w:val="center"/>
              <w:rPr>
                <w:rFonts w:ascii="宋体" w:hAnsi="宋体" w:eastAsia="宋体" w:cs="宋体"/>
                <w:sz w:val="28"/>
                <w:szCs w:val="28"/>
              </w:rPr>
            </w:pP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特</w:t>
            </w: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一</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二</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特</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一</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二</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三</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一</w:t>
            </w:r>
          </w:p>
        </w:tc>
        <w:tc>
          <w:tcPr>
            <w:tcW w:w="806"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二</w:t>
            </w:r>
          </w:p>
        </w:tc>
        <w:tc>
          <w:tcPr>
            <w:tcW w:w="592" w:type="dxa"/>
            <w:shd w:val="clear" w:color="auto" w:fill="auto"/>
            <w:vAlign w:val="center"/>
          </w:tcPr>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rPr>
              <w:t>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讲课竞赛</w:t>
            </w: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3</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2</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1.5</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0.8</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0.3</w:t>
            </w:r>
          </w:p>
        </w:tc>
        <w:tc>
          <w:tcPr>
            <w:tcW w:w="80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0.2</w:t>
            </w:r>
          </w:p>
        </w:tc>
        <w:tc>
          <w:tcPr>
            <w:tcW w:w="59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微课比赛</w:t>
            </w: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2</w:t>
            </w:r>
          </w:p>
        </w:tc>
        <w:tc>
          <w:tcPr>
            <w:tcW w:w="797"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0.6</w:t>
            </w:r>
          </w:p>
        </w:tc>
        <w:tc>
          <w:tcPr>
            <w:tcW w:w="811" w:type="dxa"/>
            <w:shd w:val="clear" w:color="auto" w:fill="auto"/>
            <w:vAlign w:val="center"/>
          </w:tcPr>
          <w:p>
            <w:pPr>
              <w:jc w:val="center"/>
              <w:rPr>
                <w:rFonts w:ascii="宋体" w:hAnsi="宋体" w:eastAsia="宋体" w:cs="宋体"/>
                <w:sz w:val="28"/>
                <w:szCs w:val="28"/>
              </w:rPr>
            </w:pP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0.3</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0.2</w:t>
            </w:r>
          </w:p>
        </w:tc>
        <w:tc>
          <w:tcPr>
            <w:tcW w:w="811"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0.2</w:t>
            </w:r>
          </w:p>
        </w:tc>
        <w:tc>
          <w:tcPr>
            <w:tcW w:w="806"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0.1</w:t>
            </w:r>
          </w:p>
        </w:tc>
        <w:tc>
          <w:tcPr>
            <w:tcW w:w="592"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655" w:type="dxa"/>
            <w:gridSpan w:val="11"/>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教育部、教育厅举办的某一专业讲课竞赛获奖，按相应等次奖励额度的50%予以奖励。国家级、省级学科指导委员会、专业协会举办的讲课竞赛获奖，按相应级别对应奖次的20%予以奖励。</w:t>
            </w:r>
          </w:p>
        </w:tc>
      </w:tr>
    </w:tbl>
    <w:p>
      <w:pPr>
        <w:pStyle w:val="3"/>
        <w:widowControl/>
        <w:spacing w:line="540" w:lineRule="atLeast"/>
        <w:rPr>
          <w:rFonts w:ascii="宋体" w:hAnsi="宋体" w:eastAsia="宋体" w:cs="宋体"/>
          <w:sz w:val="28"/>
          <w:szCs w:val="28"/>
        </w:rPr>
      </w:pPr>
      <w:r>
        <w:rPr>
          <w:rFonts w:hint="eastAsia" w:ascii="宋体" w:hAnsi="宋体" w:eastAsia="宋体" w:cs="宋体"/>
          <w:sz w:val="28"/>
          <w:szCs w:val="28"/>
          <w:shd w:val="clear" w:color="auto" w:fill="FFFFFF"/>
        </w:rPr>
        <w:t>（二）校级本科生和研究生优秀毕业论文（设计）指导教师</w:t>
      </w:r>
    </w:p>
    <w:tbl>
      <w:tblPr>
        <w:tblStyle w:val="7"/>
        <w:tblW w:w="7760" w:type="dxa"/>
        <w:jc w:val="center"/>
        <w:tblCellSpacing w:w="0" w:type="dxa"/>
        <w:tblInd w:w="2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20"/>
        <w:gridCol w:w="4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2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项目名称</w:t>
            </w:r>
          </w:p>
        </w:tc>
        <w:tc>
          <w:tcPr>
            <w:tcW w:w="41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奖励标准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2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本科生优秀毕业论文（设计）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指导教师</w:t>
            </w:r>
          </w:p>
        </w:tc>
        <w:tc>
          <w:tcPr>
            <w:tcW w:w="41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2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研究生优秀毕业论文</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指导教师</w:t>
            </w:r>
          </w:p>
        </w:tc>
        <w:tc>
          <w:tcPr>
            <w:tcW w:w="41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0.08</w:t>
            </w:r>
          </w:p>
        </w:tc>
      </w:tr>
    </w:tbl>
    <w:p>
      <w:pPr>
        <w:pStyle w:val="3"/>
        <w:widowControl/>
        <w:numPr>
          <w:ilvl w:val="0"/>
          <w:numId w:val="2"/>
        </w:numPr>
        <w:spacing w:line="540" w:lineRule="atLeas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学科竞赛指导教师（组）（单位：万元）</w:t>
      </w:r>
    </w:p>
    <w:tbl>
      <w:tblPr>
        <w:tblStyle w:val="7"/>
        <w:tblW w:w="8142" w:type="dxa"/>
        <w:jc w:val="center"/>
        <w:tblCellSpacing w:w="0" w:type="dxa"/>
        <w:tblInd w:w="9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98"/>
        <w:gridCol w:w="1355"/>
        <w:gridCol w:w="1740"/>
        <w:gridCol w:w="1650"/>
        <w:gridCol w:w="15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获奖等次</w:t>
            </w:r>
          </w:p>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项目名称</w:t>
            </w:r>
          </w:p>
        </w:tc>
        <w:tc>
          <w:tcPr>
            <w:tcW w:w="135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特等</w:t>
            </w:r>
          </w:p>
        </w:tc>
        <w:tc>
          <w:tcPr>
            <w:tcW w:w="17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一等（金奖）</w:t>
            </w:r>
          </w:p>
        </w:tc>
        <w:tc>
          <w:tcPr>
            <w:tcW w:w="165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二等（银奖）</w:t>
            </w:r>
          </w:p>
        </w:tc>
        <w:tc>
          <w:tcPr>
            <w:tcW w:w="159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三等（铜奖）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国家级</w:t>
            </w:r>
          </w:p>
        </w:tc>
        <w:tc>
          <w:tcPr>
            <w:tcW w:w="135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5</w:t>
            </w:r>
          </w:p>
        </w:tc>
        <w:tc>
          <w:tcPr>
            <w:tcW w:w="17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165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0.8</w:t>
            </w:r>
          </w:p>
        </w:tc>
        <w:tc>
          <w:tcPr>
            <w:tcW w:w="159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798"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省级</w:t>
            </w:r>
          </w:p>
        </w:tc>
        <w:tc>
          <w:tcPr>
            <w:tcW w:w="1355"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4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0.5</w:t>
            </w:r>
          </w:p>
        </w:tc>
        <w:tc>
          <w:tcPr>
            <w:tcW w:w="1650"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0.3</w:t>
            </w:r>
          </w:p>
        </w:tc>
        <w:tc>
          <w:tcPr>
            <w:tcW w:w="1599" w:type="dxa"/>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142" w:type="dxa"/>
            <w:gridSpan w:val="5"/>
            <w:shd w:val="clear" w:color="auto" w:fill="auto"/>
            <w:vAlign w:val="center"/>
          </w:tcPr>
          <w:p>
            <w:pPr>
              <w:pStyle w:val="3"/>
              <w:widowControl/>
              <w:spacing w:line="540" w:lineRule="atLeast"/>
              <w:jc w:val="center"/>
              <w:rPr>
                <w:rFonts w:ascii="宋体" w:hAnsi="宋体" w:eastAsia="宋体" w:cs="宋体"/>
                <w:sz w:val="28"/>
                <w:szCs w:val="28"/>
              </w:rPr>
            </w:pPr>
            <w:r>
              <w:rPr>
                <w:rFonts w:hint="eastAsia" w:ascii="宋体" w:hAnsi="宋体" w:eastAsia="宋体" w:cs="宋体"/>
                <w:sz w:val="28"/>
                <w:szCs w:val="28"/>
              </w:rPr>
              <w:t>国家级专指由国家部委主办的全国性学科竞赛。国家级学会和教育部各学科教学指导委员会举办的全国性学科竞赛获奖，按国家级相应等次的50%予以奖励。省级专指由省级政府主管部门举办的学科竞赛。省级学会举办的学科竞赛、全国性竞赛的省级区域获奖，按省级相应等次的50%予以奖励。</w:t>
            </w:r>
          </w:p>
        </w:tc>
      </w:tr>
    </w:tbl>
    <w:p>
      <w:pPr>
        <w:pStyle w:val="3"/>
        <w:widowControl/>
        <w:spacing w:line="540" w:lineRule="atLeast"/>
        <w:jc w:val="center"/>
        <w:rPr>
          <w:rFonts w:ascii="宋体" w:hAnsi="宋体" w:eastAsia="宋体" w:cs="宋体"/>
          <w:sz w:val="28"/>
          <w:szCs w:val="28"/>
        </w:rPr>
      </w:pPr>
      <w:r>
        <w:rPr>
          <w:rStyle w:val="5"/>
          <w:rFonts w:hint="eastAsia" w:ascii="宋体" w:hAnsi="宋体" w:eastAsia="宋体" w:cs="宋体"/>
          <w:sz w:val="28"/>
          <w:szCs w:val="28"/>
          <w:shd w:val="clear" w:color="auto" w:fill="FFFFFF"/>
        </w:rPr>
        <w:t>第五章附 则</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第十一条</w:t>
      </w:r>
      <w:r>
        <w:rPr>
          <w:rFonts w:hint="eastAsia" w:ascii="宋体" w:hAnsi="宋体" w:eastAsia="宋体" w:cs="宋体"/>
          <w:sz w:val="28"/>
          <w:szCs w:val="28"/>
          <w:shd w:val="clear" w:color="auto" w:fill="FFFFFF"/>
        </w:rPr>
        <w:t> 教学奖励每年进行一次，在当年教师节表彰大会上予以表彰奖励，颁发荣誉证书。所有奖励项目的认定均以主办单位颁发的荣誉证书或正式文件为准。奖励项目级别的认定以荣誉证书上的发奖单位盖章或文件上发文单位盖章为准。</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第十二条</w:t>
      </w:r>
      <w:r>
        <w:rPr>
          <w:rFonts w:hint="eastAsia" w:ascii="宋体" w:hAnsi="宋体" w:eastAsia="宋体" w:cs="宋体"/>
          <w:sz w:val="28"/>
          <w:szCs w:val="28"/>
          <w:shd w:val="clear" w:color="auto" w:fill="FFFFFF"/>
        </w:rPr>
        <w:t> 新增的相关教学奖励项目，由教务处和</w:t>
      </w:r>
      <w:r>
        <w:fldChar w:fldCharType="begin"/>
      </w:r>
      <w:r>
        <w:instrText xml:space="preserve"> HYPERLINK "http://yjsglc.bjwlxy.cn/index.html" </w:instrText>
      </w:r>
      <w:r>
        <w:fldChar w:fldCharType="separate"/>
      </w:r>
      <w:r>
        <w:rPr>
          <w:rStyle w:val="6"/>
          <w:rFonts w:hint="eastAsia" w:ascii="宋体" w:hAnsi="宋体" w:eastAsia="宋体" w:cs="宋体"/>
          <w:color w:val="auto"/>
          <w:sz w:val="28"/>
          <w:szCs w:val="28"/>
          <w:shd w:val="clear" w:color="auto" w:fill="FFFFFF"/>
        </w:rPr>
        <w:t>学科建设与研究生教育管理处</w:t>
      </w:r>
      <w:r>
        <w:rPr>
          <w:rStyle w:val="6"/>
          <w:rFonts w:hint="eastAsia" w:ascii="宋体" w:hAnsi="宋体" w:eastAsia="宋体" w:cs="宋体"/>
          <w:color w:val="auto"/>
          <w:sz w:val="28"/>
          <w:szCs w:val="28"/>
          <w:shd w:val="clear" w:color="auto" w:fill="FFFFFF"/>
        </w:rPr>
        <w:fldChar w:fldCharType="end"/>
      </w:r>
      <w:r>
        <w:rPr>
          <w:rFonts w:hint="eastAsia" w:ascii="宋体" w:hAnsi="宋体" w:eastAsia="宋体" w:cs="宋体"/>
          <w:sz w:val="28"/>
          <w:szCs w:val="28"/>
          <w:shd w:val="clear" w:color="auto" w:fill="FFFFFF"/>
        </w:rPr>
        <w:t>参照本办法中同类别项目奖励标准，提出建议奖励标准，报请主管校领导和校长批准后予以奖励。</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第十三条</w:t>
      </w:r>
      <w:r>
        <w:rPr>
          <w:rFonts w:hint="eastAsia" w:ascii="宋体" w:hAnsi="宋体" w:eastAsia="宋体" w:cs="宋体"/>
          <w:sz w:val="28"/>
          <w:szCs w:val="28"/>
          <w:shd w:val="clear" w:color="auto" w:fill="FFFFFF"/>
        </w:rPr>
        <w:t> 以我校为第二至第五署名单位获得省级、国家级立项及获奖，分别按相应级别的50%、30%、20%、10%予以奖励。</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第十四条</w:t>
      </w:r>
      <w:r>
        <w:rPr>
          <w:rFonts w:hint="eastAsia" w:ascii="宋体" w:hAnsi="宋体" w:eastAsia="宋体" w:cs="宋体"/>
          <w:sz w:val="28"/>
          <w:szCs w:val="28"/>
          <w:shd w:val="clear" w:color="auto" w:fill="FFFFFF"/>
        </w:rPr>
        <w:t>多次获奖的同一项目，按最高奖励标准奖励。多人合作完成的成果奖励金，由项目组负责人负责分配。</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第十五条</w:t>
      </w:r>
      <w:r>
        <w:rPr>
          <w:rFonts w:hint="eastAsia" w:ascii="宋体" w:hAnsi="宋体" w:eastAsia="宋体" w:cs="宋体"/>
          <w:sz w:val="28"/>
          <w:szCs w:val="28"/>
          <w:shd w:val="clear" w:color="auto" w:fill="FFFFFF"/>
        </w:rPr>
        <w:t> 本办法所列各类奖励经费纳入年度教学经费预算，专款专用。各项奖励金均为税前数额。</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第十六条</w:t>
      </w:r>
      <w:r>
        <w:rPr>
          <w:rFonts w:hint="eastAsia" w:ascii="宋体" w:hAnsi="宋体" w:eastAsia="宋体" w:cs="宋体"/>
          <w:sz w:val="28"/>
          <w:szCs w:val="28"/>
          <w:shd w:val="clear" w:color="auto" w:fill="FFFFFF"/>
        </w:rPr>
        <w:t>个人或单位通过不正当途径获得奖励金者，学校除收回奖励金，并对涉事人员进行处理。</w:t>
      </w:r>
    </w:p>
    <w:p>
      <w:pPr>
        <w:pStyle w:val="3"/>
        <w:widowControl/>
        <w:spacing w:line="540" w:lineRule="atLeast"/>
        <w:ind w:firstLine="420"/>
        <w:rPr>
          <w:rFonts w:ascii="宋体" w:hAnsi="宋体" w:eastAsia="宋体" w:cs="宋体"/>
          <w:sz w:val="28"/>
          <w:szCs w:val="28"/>
        </w:rPr>
      </w:pPr>
      <w:r>
        <w:rPr>
          <w:rStyle w:val="5"/>
          <w:rFonts w:hint="eastAsia" w:ascii="宋体" w:hAnsi="宋体" w:eastAsia="宋体" w:cs="宋体"/>
          <w:sz w:val="28"/>
          <w:szCs w:val="28"/>
          <w:shd w:val="clear" w:color="auto" w:fill="FFFFFF"/>
        </w:rPr>
        <w:t>第十七条</w:t>
      </w:r>
      <w:r>
        <w:rPr>
          <w:rFonts w:hint="eastAsia" w:ascii="宋体" w:hAnsi="宋体" w:eastAsia="宋体" w:cs="宋体"/>
          <w:sz w:val="28"/>
          <w:szCs w:val="28"/>
          <w:shd w:val="clear" w:color="auto" w:fill="FFFFFF"/>
        </w:rPr>
        <w:t>本办法由教务处和</w:t>
      </w:r>
      <w:r>
        <w:fldChar w:fldCharType="begin"/>
      </w:r>
      <w:r>
        <w:instrText xml:space="preserve"> HYPERLINK "http://yjsglc.bjwlxy.cn/index.html" </w:instrText>
      </w:r>
      <w:r>
        <w:fldChar w:fldCharType="separate"/>
      </w:r>
      <w:r>
        <w:rPr>
          <w:rStyle w:val="6"/>
          <w:rFonts w:hint="eastAsia" w:ascii="宋体" w:hAnsi="宋体" w:eastAsia="宋体" w:cs="宋体"/>
          <w:color w:val="auto"/>
          <w:sz w:val="28"/>
          <w:szCs w:val="28"/>
          <w:shd w:val="clear" w:color="auto" w:fill="FFFFFF"/>
        </w:rPr>
        <w:t>学科建设与研究生教育管理处</w:t>
      </w:r>
      <w:r>
        <w:rPr>
          <w:rStyle w:val="6"/>
          <w:rFonts w:hint="eastAsia" w:ascii="宋体" w:hAnsi="宋体" w:eastAsia="宋体" w:cs="宋体"/>
          <w:color w:val="auto"/>
          <w:sz w:val="28"/>
          <w:szCs w:val="28"/>
          <w:shd w:val="clear" w:color="auto" w:fill="FFFFFF"/>
        </w:rPr>
        <w:fldChar w:fldCharType="end"/>
      </w:r>
      <w:r>
        <w:rPr>
          <w:rFonts w:hint="eastAsia" w:ascii="宋体" w:hAnsi="宋体" w:eastAsia="宋体" w:cs="宋体"/>
          <w:sz w:val="28"/>
          <w:szCs w:val="28"/>
          <w:shd w:val="clear" w:color="auto" w:fill="FFFFFF"/>
        </w:rPr>
        <w:t>负责解释，自2016年1月1日起执行，原《宝鸡文理学院教学奖励实施办法》（试行）（宝文理院教字【2006】43号）同时废止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3A54"/>
    <w:multiLevelType w:val="singleLevel"/>
    <w:tmpl w:val="58B53A54"/>
    <w:lvl w:ilvl="0" w:tentative="0">
      <w:start w:val="3"/>
      <w:numFmt w:val="chineseCounting"/>
      <w:suff w:val="nothing"/>
      <w:lvlText w:val="（%1）"/>
      <w:lvlJc w:val="left"/>
    </w:lvl>
  </w:abstractNum>
  <w:abstractNum w:abstractNumId="1">
    <w:nsid w:val="58B53A91"/>
    <w:multiLevelType w:val="singleLevel"/>
    <w:tmpl w:val="58B53A9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040D"/>
    <w:rsid w:val="2C9A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2017-10-23T03:16:00Z</dcterms:created>
  <dc:creator>Admin1</dc:creator>
  <cp:lastModifiedBy>Admin1</cp:lastModifiedBy>
  <dcterms:modified xsi:type="dcterms:W3CDTF">2017-10-23T03:17:23Z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