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3001"/>
        <w:tblW w:w="12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205"/>
        <w:gridCol w:w="990"/>
        <w:gridCol w:w="7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87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601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公共管理学院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刘剑玲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“双一流”大学建设背景下全日制硕士研究生“STP”协同育人模式探究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研究生处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赖琼璇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提升就业力——基于高校研究生联合培养基地的就业服务机制研究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地理科学学院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周厚云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自然地理专业学术型研究生创新能力培养研究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04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经济与管理学院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  颖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入学动机与毕业发展——基于全面收费背景下研究生就业选择的思考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05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  畅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中英艺术类硕士研究生的培养模式对比——以华南师范大学与兰卡斯特大学为例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06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物理与电信工程学院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  淼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思想政治教育视野下导师组与研究生辅导员协同育人实践模式探究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07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信息光电子科技学院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  伍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协同育人视域下研究生科学道德和学风教育研究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08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公共管理学院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崔团结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探析收费制度下研究生三助体系的育人功能—以华南师范大学为例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09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政治与行政学院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董海军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“三助”背景下研究生社团管理研究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10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体育科学学院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丁  旋</w:t>
            </w:r>
          </w:p>
        </w:tc>
        <w:tc>
          <w:tcPr>
            <w:tcW w:w="75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微时代下研究生思政教育中师生互动机制分析——基于强弱关系理论视角</w:t>
            </w:r>
          </w:p>
        </w:tc>
      </w:tr>
    </w:tbl>
    <w:p>
      <w:pPr>
        <w:tabs>
          <w:tab w:val="left" w:pos="1168"/>
        </w:tabs>
        <w:jc w:val="center"/>
        <w:rPr>
          <w:rFonts w:hint="eastAsia"/>
          <w:b/>
          <w:kern w:val="0"/>
          <w:sz w:val="44"/>
          <w:szCs w:val="44"/>
        </w:rPr>
      </w:pPr>
      <w:r>
        <w:rPr>
          <w:rFonts w:hint="eastAsia" w:cs="宋体"/>
          <w:b/>
          <w:kern w:val="0"/>
          <w:sz w:val="44"/>
          <w:szCs w:val="44"/>
        </w:rPr>
        <w:t>2016年华南师范大学创新教育与管理研究课题</w:t>
      </w:r>
      <w:r>
        <w:rPr>
          <w:rFonts w:hint="eastAsia"/>
          <w:b/>
          <w:kern w:val="0"/>
          <w:sz w:val="44"/>
          <w:szCs w:val="44"/>
        </w:rPr>
        <w:t>到期应结题项目</w:t>
      </w:r>
    </w:p>
    <w:p>
      <w:pPr>
        <w:spacing w:line="360" w:lineRule="auto"/>
        <w:ind w:firstLine="663" w:firstLineChars="150"/>
        <w:jc w:val="left"/>
        <w:rPr>
          <w:b/>
          <w:kern w:val="0"/>
          <w:sz w:val="44"/>
          <w:szCs w:val="44"/>
        </w:rPr>
      </w:pPr>
      <w:r>
        <w:rPr>
          <w:rFonts w:hint="eastAsia" w:cs="宋体"/>
          <w:b/>
          <w:kern w:val="0"/>
          <w:sz w:val="44"/>
          <w:szCs w:val="44"/>
        </w:rPr>
        <w:t>2014-2015年华南师范大学创新教育与管理研究课题</w:t>
      </w:r>
      <w:r>
        <w:rPr>
          <w:rFonts w:hint="eastAsia"/>
          <w:b/>
          <w:kern w:val="0"/>
          <w:sz w:val="44"/>
          <w:szCs w:val="44"/>
        </w:rPr>
        <w:t>到期应结题项目</w:t>
      </w:r>
    </w:p>
    <w:tbl>
      <w:tblPr>
        <w:tblStyle w:val="5"/>
        <w:tblpPr w:leftFromText="180" w:rightFromText="180" w:vertAnchor="page" w:horzAnchor="page" w:tblpX="1990" w:tblpY="2952"/>
        <w:tblW w:w="1326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700"/>
        <w:gridCol w:w="1860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right"/>
        </w:trPr>
        <w:tc>
          <w:tcPr>
            <w:tcW w:w="132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重点课题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课题编号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项目负责人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YJSCXZ201501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心理咨询中心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祝菡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研究生心理健康教育的理论及实践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right"/>
        </w:trPr>
        <w:tc>
          <w:tcPr>
            <w:tcW w:w="132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YJSCXY201506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经济与管理学院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林可全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新媒体下研究生创新创业与就业选择的关系机理研究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YJSCXY201504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旅游管理学院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吕明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欣赏式探询视角下高校研究生会建设研究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YJSCXY201508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研究生处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马冬秀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研究生管理干部队伍建设及其作用发挥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YJSCXY201507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基础教育培训与研究院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吴少平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专业学位研究生教育与管理模式探索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righ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YJSCXY201502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教育信息技术学院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张彦</w:t>
            </w:r>
          </w:p>
        </w:tc>
        <w:tc>
          <w:tcPr>
            <w:tcW w:w="6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协同环境下研究生创新创业能力培养的探索与实证研究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kern w:val="0"/>
          <w:sz w:val="44"/>
          <w:szCs w:val="4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0"/>
    <w:rsid w:val="00190A40"/>
    <w:rsid w:val="002B0BC6"/>
    <w:rsid w:val="1E2818BA"/>
    <w:rsid w:val="229160BC"/>
    <w:rsid w:val="3DC35EBE"/>
    <w:rsid w:val="5CB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85211117</dc:creator>
  <cp:lastModifiedBy>85211117</cp:lastModifiedBy>
  <dcterms:modified xsi:type="dcterms:W3CDTF">2017-11-03T07:30:33Z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