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40"/>
        </w:tabs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莆田华侨中学考核招聘2020年新任教师</w:t>
      </w:r>
    </w:p>
    <w:p>
      <w:pPr>
        <w:jc w:val="center"/>
        <w:rPr>
          <w:rFonts w:asci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面试考核评分表</w:t>
      </w:r>
    </w:p>
    <w:p>
      <w:pPr>
        <w:spacing w:line="48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招聘岗位：</w:t>
      </w:r>
      <w:r>
        <w:rPr>
          <w:rFonts w:ascii="宋体" w:hAnsi="宋体" w:cs="宋体"/>
          <w:sz w:val="24"/>
          <w:u w:val="single"/>
        </w:rPr>
        <w:t xml:space="preserve">            </w:t>
      </w:r>
      <w:r>
        <w:rPr>
          <w:rFonts w:ascii="宋体" w:hAnsi="宋体" w:cs="宋体"/>
          <w:sz w:val="24"/>
        </w:rPr>
        <w:t xml:space="preserve">                      </w:t>
      </w:r>
      <w:r>
        <w:rPr>
          <w:rFonts w:hint="eastAsia" w:ascii="宋体" w:hAnsi="宋体" w:cs="宋体"/>
          <w:sz w:val="24"/>
        </w:rPr>
        <w:t>考生面试顺序号：</w:t>
      </w:r>
      <w:r>
        <w:rPr>
          <w:rFonts w:ascii="宋体" w:hAnsi="宋体" w:cs="宋体"/>
          <w:sz w:val="24"/>
          <w:u w:val="single"/>
        </w:rPr>
        <w:t xml:space="preserve">            </w:t>
      </w:r>
      <w:bookmarkStart w:id="0" w:name="_GoBack"/>
      <w:bookmarkEnd w:id="0"/>
    </w:p>
    <w:tbl>
      <w:tblPr>
        <w:tblStyle w:val="2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6285"/>
        <w:gridCol w:w="870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项目</w:t>
            </w:r>
          </w:p>
        </w:tc>
        <w:tc>
          <w:tcPr>
            <w:tcW w:w="628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评价要点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权重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教材</w:t>
            </w:r>
          </w:p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处理</w:t>
            </w:r>
          </w:p>
        </w:tc>
        <w:tc>
          <w:tcPr>
            <w:tcW w:w="6285" w:type="dxa"/>
            <w:noWrap w:val="0"/>
            <w:vAlign w:val="center"/>
          </w:tcPr>
          <w:p>
            <w:pPr>
              <w:jc w:val="left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、符合课程标准和教学要求，切合学生实际，目标明确、具体、可操作。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ascii="宋体" w:hAnsi="宋体" w:cs="宋体"/>
                <w:sz w:val="24"/>
              </w:rPr>
              <w:t>15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  <w:tc>
          <w:tcPr>
            <w:tcW w:w="904" w:type="dxa"/>
            <w:vMerge w:val="restart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noWrap w:val="0"/>
            <w:vAlign w:val="center"/>
          </w:tcPr>
          <w:p>
            <w:pPr>
              <w:jc w:val="left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、能正确认识所选片段在教材中的地位、作用，教学整体设计重点突出、难易适度。</w:t>
            </w: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</w:p>
        </w:tc>
        <w:tc>
          <w:tcPr>
            <w:tcW w:w="904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noWrap w:val="0"/>
            <w:vAlign w:val="center"/>
          </w:tcPr>
          <w:p>
            <w:pPr>
              <w:jc w:val="left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、能力培养、思维训练要求明确，注意寓德于教。</w:t>
            </w: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</w:p>
        </w:tc>
        <w:tc>
          <w:tcPr>
            <w:tcW w:w="904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教学</w:t>
            </w:r>
          </w:p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方法</w:t>
            </w:r>
          </w:p>
        </w:tc>
        <w:tc>
          <w:tcPr>
            <w:tcW w:w="6285" w:type="dxa"/>
            <w:noWrap w:val="0"/>
            <w:vAlign w:val="center"/>
          </w:tcPr>
          <w:p>
            <w:pPr>
              <w:jc w:val="left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、教师主导、学生主体作用突出，渗透学法指导。（通过教师口头表达体现学生活动）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ascii="宋体" w:hAnsi="宋体" w:cs="宋体"/>
                <w:sz w:val="24"/>
              </w:rPr>
              <w:t>15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  <w:tc>
          <w:tcPr>
            <w:tcW w:w="904" w:type="dxa"/>
            <w:vMerge w:val="restart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noWrap w:val="0"/>
            <w:vAlign w:val="center"/>
          </w:tcPr>
          <w:p>
            <w:pPr>
              <w:jc w:val="left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、教学灵活、突出重点、突破难点措施有力。注意科学性、有效性。</w:t>
            </w: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</w:p>
        </w:tc>
        <w:tc>
          <w:tcPr>
            <w:tcW w:w="904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教学</w:t>
            </w:r>
          </w:p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效果</w:t>
            </w:r>
          </w:p>
        </w:tc>
        <w:tc>
          <w:tcPr>
            <w:tcW w:w="6285" w:type="dxa"/>
            <w:noWrap w:val="0"/>
            <w:vAlign w:val="center"/>
          </w:tcPr>
          <w:p>
            <w:pPr>
              <w:jc w:val="left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、学习情境创设合理，活动或训练安排恰当，通过教师口授方式体现学生自主学习的时间及合作交往的机会。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ascii="宋体" w:hAnsi="宋体" w:cs="宋体"/>
                <w:sz w:val="24"/>
              </w:rPr>
              <w:t>40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  <w:tc>
          <w:tcPr>
            <w:tcW w:w="904" w:type="dxa"/>
            <w:vMerge w:val="restart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noWrap w:val="0"/>
            <w:vAlign w:val="center"/>
          </w:tcPr>
          <w:p>
            <w:pPr>
              <w:jc w:val="left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、内容正确，讲解无误，结构合理（符合认知规律），层次清楚（思路清晰）。教学密度适当，效率高，时间分配好。</w:t>
            </w: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</w:p>
        </w:tc>
        <w:tc>
          <w:tcPr>
            <w:tcW w:w="904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</w:t>
            </w:r>
          </w:p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技能</w:t>
            </w:r>
          </w:p>
        </w:tc>
        <w:tc>
          <w:tcPr>
            <w:tcW w:w="6285" w:type="dxa"/>
            <w:noWrap w:val="0"/>
            <w:vAlign w:val="center"/>
          </w:tcPr>
          <w:p>
            <w:pPr>
              <w:jc w:val="left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、仪容仪表端庄，教态亲切、自然，语言简练、生动、有感染力。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  <w:tc>
          <w:tcPr>
            <w:tcW w:w="904" w:type="dxa"/>
            <w:vMerge w:val="restart"/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noWrap w:val="0"/>
            <w:vAlign w:val="center"/>
          </w:tcPr>
          <w:p>
            <w:pPr>
              <w:jc w:val="left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、板书、板画板书设计合理，条理清楚、科学、正确。</w:t>
            </w: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</w:p>
        </w:tc>
        <w:tc>
          <w:tcPr>
            <w:tcW w:w="904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noWrap w:val="0"/>
            <w:vAlign w:val="center"/>
          </w:tcPr>
          <w:p>
            <w:pPr>
              <w:jc w:val="left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、学科基本技能好，善于发挥自身特长。</w:t>
            </w: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</w:p>
        </w:tc>
        <w:tc>
          <w:tcPr>
            <w:tcW w:w="904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教案</w:t>
            </w:r>
          </w:p>
        </w:tc>
        <w:tc>
          <w:tcPr>
            <w:tcW w:w="6285" w:type="dxa"/>
            <w:noWrap w:val="0"/>
            <w:vAlign w:val="center"/>
          </w:tcPr>
          <w:p>
            <w:pPr>
              <w:jc w:val="left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片段教学内容完整、正确，教学设计科学合理。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  <w:r>
              <w:rPr>
                <w:rFonts w:ascii="宋体" w:hAnsi="宋体" w:cs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  <w:tc>
          <w:tcPr>
            <w:tcW w:w="904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71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总分</w:t>
            </w:r>
          </w:p>
        </w:tc>
        <w:tc>
          <w:tcPr>
            <w:tcW w:w="177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 w:val="36"/>
                <w:szCs w:val="36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评委签名：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                               </w:t>
      </w:r>
    </w:p>
    <w:p>
      <w:pPr>
        <w:jc w:val="righ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2019-11-19T03:45:40Z</dcterms:created>
  <dc:creator>Administrator</dc:creator>
  <cp:lastModifiedBy>刘邦卫</cp:lastModifiedBy>
  <dcterms:modified xsi:type="dcterms:W3CDTF">2019-11-19T03:45:54Z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