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sz w:val="32"/>
          <w:szCs w:val="32"/>
        </w:rPr>
      </w:pPr>
      <w:bookmarkStart w:id="0" w:name="_GoBack"/>
      <w:bookmarkEnd w:id="0"/>
      <w:r>
        <w:rPr>
          <w:rFonts w:hint="eastAsia" w:ascii="仿宋_GB2312" w:hAnsi="仿宋" w:eastAsia="仿宋_GB2312"/>
          <w:sz w:val="32"/>
          <w:szCs w:val="32"/>
        </w:rPr>
        <w:t>附件</w:t>
      </w:r>
    </w:p>
    <w:p>
      <w:pPr>
        <w:widowControl/>
        <w:ind w:firstLine="1980" w:firstLineChars="450"/>
        <w:jc w:val="left"/>
        <w:rPr>
          <w:rFonts w:ascii="方正小标宋简体" w:eastAsia="方正小标宋简体"/>
          <w:sz w:val="44"/>
          <w:szCs w:val="44"/>
        </w:rPr>
      </w:pPr>
      <w:r>
        <w:rPr>
          <w:rFonts w:hint="eastAsia" w:ascii="方正小标宋简体" w:eastAsia="方正小标宋简体"/>
          <w:sz w:val="44"/>
          <w:szCs w:val="44"/>
        </w:rPr>
        <w:t>专利审查协作广东中心2022年公开</w:t>
      </w:r>
    </w:p>
    <w:p>
      <w:pPr>
        <w:widowControl/>
        <w:snapToGrid w:val="0"/>
        <w:ind w:firstLine="2860" w:firstLineChars="650"/>
        <w:jc w:val="left"/>
        <w:rPr>
          <w:rFonts w:ascii="仿宋_GB2312" w:hAnsi="仿宋" w:eastAsia="仿宋_GB2312"/>
          <w:sz w:val="32"/>
          <w:szCs w:val="32"/>
        </w:rPr>
      </w:pPr>
      <w:r>
        <w:rPr>
          <w:rFonts w:hint="eastAsia" w:ascii="方正小标宋简体" w:eastAsia="方正小标宋简体"/>
          <w:sz w:val="44"/>
          <w:szCs w:val="44"/>
        </w:rPr>
        <w:t>招聘专利审查员职位表</w:t>
      </w:r>
    </w:p>
    <w:tbl>
      <w:tblPr>
        <w:tblStyle w:val="10"/>
        <w:tblW w:w="9545" w:type="dxa"/>
        <w:tblInd w:w="628" w:type="dxa"/>
        <w:tblLayout w:type="autofit"/>
        <w:tblCellMar>
          <w:top w:w="0" w:type="dxa"/>
          <w:left w:w="108" w:type="dxa"/>
          <w:bottom w:w="0" w:type="dxa"/>
          <w:right w:w="108" w:type="dxa"/>
        </w:tblCellMar>
      </w:tblPr>
      <w:tblGrid>
        <w:gridCol w:w="1054"/>
        <w:gridCol w:w="28"/>
        <w:gridCol w:w="951"/>
        <w:gridCol w:w="2012"/>
        <w:gridCol w:w="28"/>
        <w:gridCol w:w="4577"/>
        <w:gridCol w:w="895"/>
      </w:tblGrid>
      <w:tr>
        <w:tblPrEx>
          <w:tblCellMar>
            <w:top w:w="0" w:type="dxa"/>
            <w:left w:w="108" w:type="dxa"/>
            <w:bottom w:w="0" w:type="dxa"/>
            <w:right w:w="108" w:type="dxa"/>
          </w:tblCellMar>
        </w:tblPrEx>
        <w:trPr>
          <w:trHeight w:val="1149" w:hRule="atLeast"/>
        </w:trPr>
        <w:tc>
          <w:tcPr>
            <w:tcW w:w="1054" w:type="dxa"/>
            <w:tcBorders>
              <w:top w:val="single" w:color="auto" w:sz="4" w:space="0"/>
              <w:left w:val="single" w:color="auto" w:sz="4" w:space="0"/>
              <w:bottom w:val="single" w:color="auto" w:sz="4" w:space="0"/>
              <w:right w:val="single" w:color="auto" w:sz="4" w:space="0"/>
            </w:tcBorders>
            <w:shd w:val="clear" w:color="000000" w:fill="A6A6A6"/>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领域</w:t>
            </w:r>
          </w:p>
        </w:tc>
        <w:tc>
          <w:tcPr>
            <w:tcW w:w="979" w:type="dxa"/>
            <w:gridSpan w:val="2"/>
            <w:tcBorders>
              <w:top w:val="single" w:color="auto" w:sz="4" w:space="0"/>
              <w:left w:val="single" w:color="auto" w:sz="4" w:space="0"/>
              <w:bottom w:val="single" w:color="auto" w:sz="4" w:space="0"/>
              <w:right w:val="single" w:color="auto" w:sz="4" w:space="0"/>
            </w:tcBorders>
            <w:shd w:val="clear" w:color="000000" w:fill="A6A6A6"/>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职位代码</w:t>
            </w:r>
          </w:p>
        </w:tc>
        <w:tc>
          <w:tcPr>
            <w:tcW w:w="2012" w:type="dxa"/>
            <w:tcBorders>
              <w:top w:val="single" w:color="auto" w:sz="4" w:space="0"/>
              <w:left w:val="nil"/>
              <w:bottom w:val="single" w:color="auto" w:sz="4" w:space="0"/>
              <w:right w:val="single" w:color="auto" w:sz="4" w:space="0"/>
            </w:tcBorders>
            <w:shd w:val="clear" w:color="000000" w:fill="A6A6A6"/>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职位名称</w:t>
            </w:r>
          </w:p>
        </w:tc>
        <w:tc>
          <w:tcPr>
            <w:tcW w:w="4605" w:type="dxa"/>
            <w:gridSpan w:val="2"/>
            <w:tcBorders>
              <w:top w:val="single" w:color="auto" w:sz="4" w:space="0"/>
              <w:left w:val="nil"/>
              <w:bottom w:val="single" w:color="auto" w:sz="4" w:space="0"/>
              <w:right w:val="single" w:color="auto" w:sz="4" w:space="0"/>
            </w:tcBorders>
            <w:shd w:val="clear" w:color="000000" w:fill="A6A6A6"/>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专业及方向</w:t>
            </w:r>
          </w:p>
        </w:tc>
        <w:tc>
          <w:tcPr>
            <w:tcW w:w="895" w:type="dxa"/>
            <w:tcBorders>
              <w:top w:val="single" w:color="auto" w:sz="4" w:space="0"/>
              <w:left w:val="nil"/>
              <w:bottom w:val="single" w:color="auto" w:sz="4" w:space="0"/>
              <w:right w:val="single" w:color="auto" w:sz="4" w:space="0"/>
            </w:tcBorders>
            <w:shd w:val="clear" w:color="000000" w:fill="A6A6A6"/>
            <w:noWrap/>
            <w:vAlign w:val="center"/>
          </w:tcPr>
          <w:p>
            <w:pPr>
              <w:widowControl/>
              <w:jc w:val="center"/>
              <w:rPr>
                <w:rFonts w:ascii="宋体" w:hAnsi="宋体" w:cs="宋体"/>
                <w:b/>
                <w:bCs/>
                <w:kern w:val="0"/>
                <w:sz w:val="28"/>
                <w:szCs w:val="28"/>
                <w:highlight w:val="yellow"/>
              </w:rPr>
            </w:pPr>
            <w:r>
              <w:rPr>
                <w:rFonts w:hint="eastAsia" w:ascii="宋体" w:hAnsi="宋体" w:cs="宋体"/>
                <w:b/>
                <w:bCs/>
                <w:kern w:val="0"/>
                <w:sz w:val="28"/>
                <w:szCs w:val="28"/>
              </w:rPr>
              <w:t>人数</w:t>
            </w:r>
          </w:p>
        </w:tc>
      </w:tr>
      <w:tr>
        <w:tblPrEx>
          <w:tblCellMar>
            <w:top w:w="0" w:type="dxa"/>
            <w:left w:w="108" w:type="dxa"/>
            <w:bottom w:w="0" w:type="dxa"/>
            <w:right w:w="108" w:type="dxa"/>
          </w:tblCellMar>
        </w:tblPrEx>
        <w:trPr>
          <w:trHeight w:val="1450" w:hRule="atLeast"/>
        </w:trPr>
        <w:tc>
          <w:tcPr>
            <w:tcW w:w="1054" w:type="dxa"/>
            <w:vMerge w:val="restart"/>
            <w:tcBorders>
              <w:top w:val="nil"/>
              <w:left w:val="single" w:color="auto" w:sz="4" w:space="0"/>
              <w:right w:val="single" w:color="auto" w:sz="4" w:space="0"/>
            </w:tcBorders>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b/>
                <w:kern w:val="0"/>
                <w:sz w:val="24"/>
              </w:rPr>
              <w:t>机械</w:t>
            </w:r>
          </w:p>
          <w:p>
            <w:pPr>
              <w:widowControl/>
              <w:jc w:val="center"/>
              <w:rPr>
                <w:rFonts w:ascii="宋体" w:hAnsi="宋体" w:cs="宋体"/>
                <w:kern w:val="0"/>
                <w:sz w:val="24"/>
              </w:rPr>
            </w:pPr>
          </w:p>
          <w:p>
            <w:pPr>
              <w:widowControl/>
              <w:jc w:val="center"/>
              <w:rPr>
                <w:rFonts w:ascii="宋体" w:hAnsi="宋体" w:cs="宋体"/>
                <w:kern w:val="0"/>
                <w:sz w:val="24"/>
              </w:rPr>
            </w:pPr>
          </w:p>
          <w:p>
            <w:pPr>
              <w:widowControl/>
              <w:rPr>
                <w:rFonts w:ascii="宋体" w:hAnsi="宋体" w:cs="宋体"/>
                <w:b/>
                <w:kern w:val="0"/>
                <w:sz w:val="24"/>
              </w:rPr>
            </w:pPr>
          </w:p>
        </w:tc>
        <w:tc>
          <w:tcPr>
            <w:tcW w:w="9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G101</w:t>
            </w:r>
          </w:p>
        </w:tc>
        <w:tc>
          <w:tcPr>
            <w:tcW w:w="20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机械设备与工程</w:t>
            </w:r>
          </w:p>
        </w:tc>
        <w:tc>
          <w:tcPr>
            <w:tcW w:w="46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机械工程，机械电子工程，机械设计制造及自动化，轻工技术与工程；海洋油气工程，石油与天然气工程；动力工程及工程热物理等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16</w:t>
            </w:r>
          </w:p>
        </w:tc>
      </w:tr>
      <w:tr>
        <w:tblPrEx>
          <w:tblCellMar>
            <w:top w:w="0" w:type="dxa"/>
            <w:left w:w="108" w:type="dxa"/>
            <w:bottom w:w="0" w:type="dxa"/>
            <w:right w:w="108" w:type="dxa"/>
          </w:tblCellMar>
        </w:tblPrEx>
        <w:trPr>
          <w:trHeight w:val="1131" w:hRule="atLeast"/>
        </w:trPr>
        <w:tc>
          <w:tcPr>
            <w:tcW w:w="1054" w:type="dxa"/>
            <w:vMerge w:val="continue"/>
            <w:tcBorders>
              <w:left w:val="single" w:color="auto" w:sz="4" w:space="0"/>
              <w:bottom w:val="single" w:color="auto" w:sz="4" w:space="0"/>
              <w:right w:val="single" w:color="auto" w:sz="4" w:space="0"/>
            </w:tcBorders>
          </w:tcPr>
          <w:p>
            <w:pPr>
              <w:widowControl/>
              <w:jc w:val="center"/>
              <w:rPr>
                <w:rFonts w:ascii="宋体" w:hAnsi="宋体" w:cs="宋体"/>
                <w:kern w:val="0"/>
                <w:sz w:val="24"/>
              </w:rPr>
            </w:pPr>
          </w:p>
        </w:tc>
        <w:tc>
          <w:tcPr>
            <w:tcW w:w="97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G102</w:t>
            </w:r>
          </w:p>
        </w:tc>
        <w:tc>
          <w:tcPr>
            <w:tcW w:w="20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机械加工</w:t>
            </w:r>
          </w:p>
        </w:tc>
        <w:tc>
          <w:tcPr>
            <w:tcW w:w="460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材料科学与工程（材料加工工程方向），材料成型及控制工程（焊接工艺），焊接技术与工程，机械设计及其自动化等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1122" w:hRule="atLeast"/>
        </w:trPr>
        <w:tc>
          <w:tcPr>
            <w:tcW w:w="1054"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4"/>
              </w:rPr>
            </w:pPr>
          </w:p>
          <w:p>
            <w:pPr>
              <w:widowControl/>
              <w:jc w:val="center"/>
              <w:rPr>
                <w:rFonts w:ascii="宋体" w:hAnsi="宋体" w:cs="宋体"/>
                <w:kern w:val="0"/>
                <w:sz w:val="24"/>
              </w:rPr>
            </w:pPr>
          </w:p>
          <w:p>
            <w:pPr>
              <w:widowControl/>
              <w:rPr>
                <w:rFonts w:ascii="宋体" w:hAnsi="宋体" w:cs="宋体"/>
                <w:b/>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jc w:val="center"/>
              <w:rPr>
                <w:rFonts w:ascii="宋体" w:hAnsi="宋体" w:cs="宋体"/>
                <w:b/>
                <w:kern w:val="0"/>
                <w:sz w:val="24"/>
              </w:rPr>
            </w:pPr>
            <w:r>
              <w:rPr>
                <w:rFonts w:hint="eastAsia" w:ascii="宋体" w:hAnsi="宋体" w:cs="宋体"/>
                <w:b/>
                <w:color w:val="000000"/>
                <w:kern w:val="0"/>
                <w:sz w:val="24"/>
              </w:rPr>
              <w:t>电学</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kern w:val="0"/>
                <w:sz w:val="24"/>
              </w:rPr>
              <w:t>G201</w:t>
            </w:r>
          </w:p>
        </w:tc>
        <w:tc>
          <w:tcPr>
            <w:tcW w:w="20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电池</w:t>
            </w:r>
          </w:p>
        </w:tc>
        <w:tc>
          <w:tcPr>
            <w:tcW w:w="4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化学、应用化学、电化学、化学工程与工艺、化学工程与技术、材料化学、材料科学与工程、新能源材料与器件等</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r>
      <w:tr>
        <w:tblPrEx>
          <w:tblCellMar>
            <w:top w:w="0" w:type="dxa"/>
            <w:left w:w="108" w:type="dxa"/>
            <w:bottom w:w="0" w:type="dxa"/>
            <w:right w:w="108" w:type="dxa"/>
          </w:tblCellMar>
        </w:tblPrEx>
        <w:trPr>
          <w:trHeight w:val="2397" w:hRule="atLeast"/>
        </w:trPr>
        <w:tc>
          <w:tcPr>
            <w:tcW w:w="1054" w:type="dxa"/>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G202</w:t>
            </w:r>
          </w:p>
        </w:tc>
        <w:tc>
          <w:tcPr>
            <w:tcW w:w="2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电网技术与电力工程</w:t>
            </w:r>
          </w:p>
        </w:tc>
        <w:tc>
          <w:tcPr>
            <w:tcW w:w="4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气工程及其自动化、电气工程、自动化、智能电网信息工程、电气工程与智能控制、船舶电子电气工程、电机电器智能化、建筑电气与智能化、机器人工程、新能源科学与工程、智能制造工程、新能源汽车工程等电气类、自动化类、机电类专业等</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25</w:t>
            </w:r>
          </w:p>
        </w:tc>
      </w:tr>
      <w:tr>
        <w:tblPrEx>
          <w:tblCellMar>
            <w:top w:w="0" w:type="dxa"/>
            <w:left w:w="108" w:type="dxa"/>
            <w:bottom w:w="0" w:type="dxa"/>
            <w:right w:w="108" w:type="dxa"/>
          </w:tblCellMar>
        </w:tblPrEx>
        <w:trPr>
          <w:trHeight w:val="6270" w:hRule="atLeast"/>
        </w:trPr>
        <w:tc>
          <w:tcPr>
            <w:tcW w:w="1082" w:type="dxa"/>
            <w:gridSpan w:val="2"/>
            <w:vMerge w:val="restart"/>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b/>
                <w:color w:val="000000"/>
                <w:kern w:val="0"/>
                <w:sz w:val="24"/>
              </w:rPr>
            </w:pPr>
            <w:r>
              <w:rPr>
                <w:rFonts w:hint="eastAsia" w:ascii="宋体" w:hAnsi="宋体" w:cs="宋体"/>
                <w:b/>
                <w:color w:val="000000"/>
                <w:kern w:val="0"/>
                <w:sz w:val="24"/>
              </w:rPr>
              <w:t>电学</w:t>
            </w: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G203</w:t>
            </w:r>
          </w:p>
        </w:tc>
        <w:tc>
          <w:tcPr>
            <w:tcW w:w="20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计算机</w:t>
            </w:r>
          </w:p>
        </w:tc>
        <w:tc>
          <w:tcPr>
            <w:tcW w:w="45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计算机类相关专业或具备计算机专业背景的管理科学与工程类相关专业的优秀毕业生或具备相关专业背景工作经验的优秀人员，涉及专业及方向具体包括但不限于：计算机科学与技术、计算机应用技术、计算机软件与理论、软件工程、网络工程、计算机系统结构、人工智能、数据科学与大数据技术、大数据管理与应用、信息安全、云计算、模式识别与智能系统、电子商务、信息管理与信息系统、电气工程及其自动化、电子信息工程、电子科学与技术、通信工程、微电子科学与工程、信息工程、光电信息科学与工程、自动化、控制科学与工程、电气工程、电气工程与智能控制、信息与通信工程、物联网工程、数字媒体技术、智能科学与技术、空间信息与数字技术、电子与计算机工程、信息与计算科学、遥感科学与技术、测绘工程、农业电气化、信息资源管理、电磁场与无线技术、机械电子工程、医学信息工程等</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55</w:t>
            </w:r>
          </w:p>
        </w:tc>
      </w:tr>
      <w:tr>
        <w:tblPrEx>
          <w:tblCellMar>
            <w:top w:w="0" w:type="dxa"/>
            <w:left w:w="108" w:type="dxa"/>
            <w:bottom w:w="0" w:type="dxa"/>
            <w:right w:w="108" w:type="dxa"/>
          </w:tblCellMar>
        </w:tblPrEx>
        <w:trPr>
          <w:trHeight w:val="600" w:hRule="atLeast"/>
        </w:trPr>
        <w:tc>
          <w:tcPr>
            <w:tcW w:w="1082" w:type="dxa"/>
            <w:gridSpan w:val="2"/>
            <w:vMerge w:val="continue"/>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4"/>
              </w:rPr>
            </w:pPr>
          </w:p>
        </w:tc>
        <w:tc>
          <w:tcPr>
            <w:tcW w:w="9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G204</w:t>
            </w:r>
          </w:p>
        </w:tc>
        <w:tc>
          <w:tcPr>
            <w:tcW w:w="20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半导体</w:t>
            </w:r>
          </w:p>
        </w:tc>
        <w:tc>
          <w:tcPr>
            <w:tcW w:w="45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电子科学与技术、 应用物理学、 电子信息工程、微电子科学与工程、光电信息科学与工程、集成电路设计与集成系统、电子信息科学与技术、电子封装技术、无机非金属材料工程、材料科学与工程等</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14</w:t>
            </w:r>
          </w:p>
        </w:tc>
      </w:tr>
      <w:tr>
        <w:tblPrEx>
          <w:tblCellMar>
            <w:top w:w="0" w:type="dxa"/>
            <w:left w:w="108" w:type="dxa"/>
            <w:bottom w:w="0" w:type="dxa"/>
            <w:right w:w="108" w:type="dxa"/>
          </w:tblCellMar>
        </w:tblPrEx>
        <w:trPr>
          <w:trHeight w:val="1692" w:hRule="atLeast"/>
        </w:trPr>
        <w:tc>
          <w:tcPr>
            <w:tcW w:w="108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通信</w:t>
            </w: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color w:val="000000"/>
                <w:kern w:val="0"/>
                <w:sz w:val="24"/>
              </w:rPr>
              <w:t>G301</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无线与移动通信</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电子信息工程专业；电子科学与技术专业；通信工程专业；信息工程专业；信息与通信工程专业；通信与信息系统专业；信号与信息处理专业；计算机科学与技术专业；网络工程专业；物联网工程专业；电子信息科学与技术专业；电磁场与无线技术专业；电波传播与天线专业；智能科学与技术专业；区块链工程专业；电子与计算机工程专业；电信工程及管理专业；光电信息科学与工程专业等</w:t>
            </w:r>
          </w:p>
        </w:tc>
        <w:tc>
          <w:tcPr>
            <w:tcW w:w="8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600" w:hRule="atLeast"/>
        </w:trPr>
        <w:tc>
          <w:tcPr>
            <w:tcW w:w="1082" w:type="dxa"/>
            <w:gridSpan w:val="2"/>
            <w:vMerge w:val="restart"/>
            <w:tcBorders>
              <w:top w:val="nil"/>
              <w:left w:val="single" w:color="auto" w:sz="4" w:space="0"/>
              <w:right w:val="single" w:color="auto" w:sz="4" w:space="0"/>
            </w:tcBorders>
          </w:tcPr>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jc w:val="center"/>
              <w:rPr>
                <w:rFonts w:ascii="宋体" w:hAnsi="宋体" w:cs="宋体"/>
                <w:kern w:val="0"/>
                <w:sz w:val="24"/>
              </w:rPr>
            </w:pPr>
          </w:p>
          <w:p>
            <w:pPr>
              <w:widowControl/>
              <w:ind w:firstLine="241" w:firstLineChars="100"/>
              <w:rPr>
                <w:rFonts w:ascii="宋体" w:hAnsi="宋体" w:cs="宋体"/>
                <w:b/>
                <w:kern w:val="0"/>
                <w:sz w:val="24"/>
              </w:rPr>
            </w:pPr>
            <w:r>
              <w:rPr>
                <w:rFonts w:hint="eastAsia" w:ascii="宋体" w:hAnsi="宋体" w:cs="宋体"/>
                <w:b/>
                <w:kern w:val="0"/>
                <w:sz w:val="24"/>
              </w:rPr>
              <w:t>医药</w:t>
            </w: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G401</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生物学装置</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生物医学工程、酶工程、发酵工程、生物化工、细胞培养与代谢工程、仪器科学与技术（生物检测相关方向）、化学工程与技术等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77" w:hRule="atLeast"/>
        </w:trPr>
        <w:tc>
          <w:tcPr>
            <w:tcW w:w="1082" w:type="dxa"/>
            <w:gridSpan w:val="2"/>
            <w:vMerge w:val="continue"/>
            <w:tcBorders>
              <w:left w:val="single" w:color="auto" w:sz="4" w:space="0"/>
              <w:right w:val="single" w:color="auto" w:sz="4" w:space="0"/>
            </w:tcBorders>
          </w:tcPr>
          <w:p>
            <w:pPr>
              <w:widowControl/>
              <w:jc w:val="center"/>
              <w:rPr>
                <w:rFonts w:ascii="宋体" w:hAnsi="宋体" w:cs="宋体"/>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G402</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生物技术</w:t>
            </w:r>
          </w:p>
        </w:tc>
        <w:tc>
          <w:tcPr>
            <w:tcW w:w="4577" w:type="dxa"/>
            <w:tcBorders>
              <w:top w:val="nil"/>
              <w:left w:val="nil"/>
              <w:bottom w:val="single" w:color="auto" w:sz="4" w:space="0"/>
              <w:right w:val="single" w:color="auto" w:sz="4" w:space="0"/>
            </w:tcBorders>
            <w:shd w:val="clear" w:color="auto" w:fill="auto"/>
          </w:tcPr>
          <w:p>
            <w:pPr>
              <w:rPr>
                <w:sz w:val="24"/>
              </w:rPr>
            </w:pPr>
            <w:r>
              <w:rPr>
                <w:rFonts w:hint="eastAsia"/>
                <w:sz w:val="24"/>
              </w:rPr>
              <w:t>生物科学、生物工程、生物医学工程、生物化学、生物技术、生物制药、合成生物学、免疫学、基因工程、分子生物学、细胞生物学、生物信息学、微生物学、酶工程、发酵工程、基因芯片、基因测序等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1995" w:hRule="atLeast"/>
        </w:trPr>
        <w:tc>
          <w:tcPr>
            <w:tcW w:w="1082" w:type="dxa"/>
            <w:gridSpan w:val="2"/>
            <w:vMerge w:val="restart"/>
            <w:tcBorders>
              <w:top w:val="nil"/>
              <w:left w:val="single" w:color="auto" w:sz="4" w:space="0"/>
              <w:right w:val="single" w:color="auto" w:sz="4" w:space="0"/>
            </w:tcBorders>
          </w:tcPr>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p>
          <w:p>
            <w:pPr>
              <w:widowControl/>
              <w:jc w:val="center"/>
              <w:rPr>
                <w:rFonts w:ascii="宋体" w:hAnsi="宋体" w:cs="宋体"/>
                <w:b/>
                <w:color w:val="000000"/>
                <w:kern w:val="0"/>
                <w:sz w:val="24"/>
              </w:rPr>
            </w:pPr>
            <w:r>
              <w:rPr>
                <w:rFonts w:hint="eastAsia" w:ascii="宋体" w:hAnsi="宋体" w:cs="宋体"/>
                <w:b/>
                <w:color w:val="000000"/>
                <w:kern w:val="0"/>
                <w:sz w:val="24"/>
              </w:rPr>
              <w:t>光电</w:t>
            </w: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widowControl/>
              <w:jc w:val="center"/>
              <w:rPr>
                <w:rFonts w:ascii="宋体" w:hAnsi="宋体" w:cs="宋体"/>
                <w:color w:val="000000"/>
                <w:kern w:val="0"/>
                <w:sz w:val="24"/>
              </w:rPr>
            </w:pPr>
          </w:p>
          <w:p>
            <w:pPr>
              <w:rPr>
                <w:rFonts w:ascii="宋体" w:hAnsi="宋体" w:cs="宋体"/>
                <w:b/>
                <w:color w:val="000000"/>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G601</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定位与导航</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仪器科学与技术、电子科学与技术、信息与通信工程、控制科学与工程、计算机科学与技术、测绘科学与技术、测控技术与仪器、航空宇航科学与技术、信息工程、电子信息工程、通信工程、测绘工程、遥感科学与技术、探测制导与控制技术、电磁场与无线技术、电波传播与天线、导航工程、飞行器适航技术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w:t>
            </w:r>
          </w:p>
        </w:tc>
      </w:tr>
      <w:tr>
        <w:tblPrEx>
          <w:tblCellMar>
            <w:top w:w="0" w:type="dxa"/>
            <w:left w:w="108" w:type="dxa"/>
            <w:bottom w:w="0" w:type="dxa"/>
            <w:right w:w="108" w:type="dxa"/>
          </w:tblCellMar>
        </w:tblPrEx>
        <w:trPr>
          <w:trHeight w:val="1425" w:hRule="atLeast"/>
        </w:trPr>
        <w:tc>
          <w:tcPr>
            <w:tcW w:w="1082" w:type="dxa"/>
            <w:gridSpan w:val="2"/>
            <w:vMerge w:val="continue"/>
            <w:tcBorders>
              <w:left w:val="single" w:color="auto" w:sz="4" w:space="0"/>
              <w:right w:val="single" w:color="auto" w:sz="4" w:space="0"/>
            </w:tcBorders>
          </w:tcPr>
          <w:p>
            <w:pPr>
              <w:jc w:val="center"/>
              <w:rPr>
                <w:rFonts w:ascii="宋体" w:hAnsi="宋体" w:cs="宋体"/>
                <w:color w:val="000000"/>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G602</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测量测试</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仪器科学与技术、测绘科学与技术、电气工程、信息与通信工程、电子科学与技术、测试计量技术与仪器、机械仪表工程、电子信息工程、控制科学与控制工程、自动化、测控技术与仪器等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r>
      <w:tr>
        <w:tblPrEx>
          <w:tblCellMar>
            <w:top w:w="0" w:type="dxa"/>
            <w:left w:w="108" w:type="dxa"/>
            <w:bottom w:w="0" w:type="dxa"/>
            <w:right w:w="108" w:type="dxa"/>
          </w:tblCellMar>
        </w:tblPrEx>
        <w:trPr>
          <w:trHeight w:val="2565" w:hRule="atLeast"/>
        </w:trPr>
        <w:tc>
          <w:tcPr>
            <w:tcW w:w="1082" w:type="dxa"/>
            <w:gridSpan w:val="2"/>
            <w:vMerge w:val="continue"/>
            <w:tcBorders>
              <w:left w:val="single" w:color="auto" w:sz="4" w:space="0"/>
              <w:right w:val="single" w:color="auto" w:sz="4" w:space="0"/>
            </w:tcBorders>
          </w:tcPr>
          <w:p>
            <w:pPr>
              <w:widowControl/>
              <w:jc w:val="center"/>
              <w:rPr>
                <w:rFonts w:ascii="宋体" w:hAnsi="宋体" w:cs="宋体"/>
                <w:b/>
                <w:color w:val="000000"/>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G603</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信号处理与控制技术</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仪器科学与技术、电气工程、电子科学与技术、信息与通信工程、电子信息科学与技术、智能科学与技术、电子信息工程、通信工程、控制科学与工程、船舶与海洋工程、航空宇航科学与技术、飞行技术、交通设备与控制工程、船舶电子电气工程、机械设计制造及其自动化、机械电子工程、过程装备与控制工程、微机电系统工程、智能制造工程、测控技术与仪器、精密仪器、电气工程及其自动化、电气工程与智能控制、电子信息工程、人工智能、自动化、机器人工程、智能装备与系统、工业智能、船舶与海洋工程、海洋工程与技术、航空航天工程、飞行器设计与工程、飞行器控制与信息工程、无人驾驶航空器系统工程、物联网工程、航空宇航科学与技术、航空航天工程、飞行器设计与工程、飞行器制造工程、飞行器动力工程、飞行器适航技术、飞行器环境与生命保障工程、信息与计算科学、应用物理学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w:t>
            </w:r>
          </w:p>
        </w:tc>
      </w:tr>
      <w:tr>
        <w:tblPrEx>
          <w:tblCellMar>
            <w:top w:w="0" w:type="dxa"/>
            <w:left w:w="108" w:type="dxa"/>
            <w:bottom w:w="0" w:type="dxa"/>
            <w:right w:w="108" w:type="dxa"/>
          </w:tblCellMar>
        </w:tblPrEx>
        <w:trPr>
          <w:trHeight w:val="1589" w:hRule="atLeast"/>
        </w:trPr>
        <w:tc>
          <w:tcPr>
            <w:tcW w:w="1082" w:type="dxa"/>
            <w:gridSpan w:val="2"/>
            <w:vMerge w:val="continue"/>
            <w:tcBorders>
              <w:left w:val="single" w:color="auto" w:sz="4" w:space="0"/>
              <w:right w:val="single" w:color="auto" w:sz="4" w:space="0"/>
            </w:tcBorders>
          </w:tcPr>
          <w:p>
            <w:pPr>
              <w:widowControl/>
              <w:jc w:val="center"/>
              <w:rPr>
                <w:rFonts w:ascii="宋体" w:hAnsi="宋体" w:cs="宋体"/>
                <w:color w:val="000000"/>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G604</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医疗技术</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生物医学工程、医学信息工程、临床工程技术、医学影像技术、眼视光学等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r>
      <w:tr>
        <w:tblPrEx>
          <w:tblCellMar>
            <w:top w:w="0" w:type="dxa"/>
            <w:left w:w="108" w:type="dxa"/>
            <w:bottom w:w="0" w:type="dxa"/>
            <w:right w:w="108" w:type="dxa"/>
          </w:tblCellMar>
        </w:tblPrEx>
        <w:trPr>
          <w:trHeight w:val="900" w:hRule="atLeast"/>
        </w:trPr>
        <w:tc>
          <w:tcPr>
            <w:tcW w:w="1082" w:type="dxa"/>
            <w:gridSpan w:val="2"/>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 w:val="24"/>
              </w:rPr>
            </w:pPr>
          </w:p>
        </w:tc>
        <w:tc>
          <w:tcPr>
            <w:tcW w:w="9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宋体" w:hAnsi="宋体" w:cs="宋体"/>
                <w:color w:val="000000"/>
                <w:kern w:val="0"/>
                <w:sz w:val="24"/>
              </w:rPr>
              <w:t>G605</w:t>
            </w:r>
          </w:p>
        </w:tc>
        <w:tc>
          <w:tcPr>
            <w:tcW w:w="20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核工程</w:t>
            </w:r>
          </w:p>
        </w:tc>
        <w:tc>
          <w:tcPr>
            <w:tcW w:w="4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核工程与核技术，核反应堆工程，核辐射与防护工程，核化工与燃料工程，核动力工程，核安全工程，影像医学与核医学专业等</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630" w:hRule="atLeast"/>
        </w:trPr>
        <w:tc>
          <w:tcPr>
            <w:tcW w:w="8650" w:type="dxa"/>
            <w:gridSpan w:val="6"/>
            <w:tcBorders>
              <w:top w:val="single" w:color="auto" w:sz="4" w:space="0"/>
              <w:left w:val="single" w:color="auto" w:sz="4" w:space="0"/>
              <w:bottom w:val="single" w:color="auto" w:sz="4" w:space="0"/>
              <w:right w:val="single" w:color="000000" w:sz="4" w:space="0"/>
            </w:tcBorders>
            <w:vAlign w:val="center"/>
          </w:tcPr>
          <w:p>
            <w:pPr>
              <w:widowControl/>
              <w:ind w:firstLine="3778" w:firstLineChars="1568"/>
              <w:rPr>
                <w:rFonts w:ascii="宋体" w:hAnsi="宋体" w:cs="宋体"/>
                <w:b/>
                <w:bCs/>
                <w:kern w:val="0"/>
                <w:sz w:val="24"/>
              </w:rPr>
            </w:pPr>
            <w:r>
              <w:rPr>
                <w:rFonts w:hint="eastAsia" w:ascii="宋体" w:hAnsi="宋体" w:cs="宋体"/>
                <w:b/>
                <w:bCs/>
                <w:kern w:val="0"/>
                <w:sz w:val="24"/>
              </w:rPr>
              <w:t>合计</w:t>
            </w:r>
          </w:p>
        </w:tc>
        <w:tc>
          <w:tcPr>
            <w:tcW w:w="8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180</w:t>
            </w:r>
          </w:p>
        </w:tc>
      </w:tr>
    </w:tbl>
    <w:p>
      <w:pPr>
        <w:spacing w:line="800" w:lineRule="exact"/>
        <w:ind w:right="641"/>
        <w:jc w:val="left"/>
        <w:rPr>
          <w:rFonts w:ascii="仿宋_GB2312" w:hAnsi="仿宋" w:eastAsia="仿宋_GB2312"/>
          <w:sz w:val="32"/>
          <w:szCs w:val="32"/>
        </w:rPr>
      </w:pPr>
    </w:p>
    <w:sectPr>
      <w:footerReference r:id="rId3" w:type="default"/>
      <w:footerReference r:id="rId4"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B68"/>
    <w:rsid w:val="00015927"/>
    <w:rsid w:val="00021DE3"/>
    <w:rsid w:val="00022636"/>
    <w:rsid w:val="00024978"/>
    <w:rsid w:val="000270B6"/>
    <w:rsid w:val="00027E7C"/>
    <w:rsid w:val="0003186A"/>
    <w:rsid w:val="00031EC3"/>
    <w:rsid w:val="00033BFC"/>
    <w:rsid w:val="00035B1E"/>
    <w:rsid w:val="00036372"/>
    <w:rsid w:val="00037CA3"/>
    <w:rsid w:val="000436AC"/>
    <w:rsid w:val="00043DCA"/>
    <w:rsid w:val="000526AE"/>
    <w:rsid w:val="0006170E"/>
    <w:rsid w:val="000631CB"/>
    <w:rsid w:val="000638AD"/>
    <w:rsid w:val="00063B4F"/>
    <w:rsid w:val="00064C8E"/>
    <w:rsid w:val="00065828"/>
    <w:rsid w:val="00066DA8"/>
    <w:rsid w:val="00070EA1"/>
    <w:rsid w:val="000714D6"/>
    <w:rsid w:val="0007518C"/>
    <w:rsid w:val="0007577A"/>
    <w:rsid w:val="00075F95"/>
    <w:rsid w:val="00076F4E"/>
    <w:rsid w:val="000770EF"/>
    <w:rsid w:val="0008061D"/>
    <w:rsid w:val="00096525"/>
    <w:rsid w:val="00097FD0"/>
    <w:rsid w:val="000A1507"/>
    <w:rsid w:val="000A1EFC"/>
    <w:rsid w:val="000A5A51"/>
    <w:rsid w:val="000A7919"/>
    <w:rsid w:val="000A7BD2"/>
    <w:rsid w:val="000B21B7"/>
    <w:rsid w:val="000B41E8"/>
    <w:rsid w:val="000B4F49"/>
    <w:rsid w:val="000C3EDB"/>
    <w:rsid w:val="000C4526"/>
    <w:rsid w:val="000C4C0F"/>
    <w:rsid w:val="000C5EC1"/>
    <w:rsid w:val="000C6BC0"/>
    <w:rsid w:val="000C6BC5"/>
    <w:rsid w:val="000C71FA"/>
    <w:rsid w:val="000C79B8"/>
    <w:rsid w:val="000D1624"/>
    <w:rsid w:val="000D263B"/>
    <w:rsid w:val="000D2F7C"/>
    <w:rsid w:val="000D40BC"/>
    <w:rsid w:val="000E0B79"/>
    <w:rsid w:val="000E1336"/>
    <w:rsid w:val="000E1D3B"/>
    <w:rsid w:val="000E2442"/>
    <w:rsid w:val="000E6F41"/>
    <w:rsid w:val="000F0877"/>
    <w:rsid w:val="000F258F"/>
    <w:rsid w:val="000F2B5F"/>
    <w:rsid w:val="000F326C"/>
    <w:rsid w:val="000F4146"/>
    <w:rsid w:val="00101A42"/>
    <w:rsid w:val="0010306D"/>
    <w:rsid w:val="00105BB9"/>
    <w:rsid w:val="001128F2"/>
    <w:rsid w:val="00123366"/>
    <w:rsid w:val="00123A4C"/>
    <w:rsid w:val="00127207"/>
    <w:rsid w:val="001276B4"/>
    <w:rsid w:val="001312AB"/>
    <w:rsid w:val="00133FDB"/>
    <w:rsid w:val="001340DB"/>
    <w:rsid w:val="00134682"/>
    <w:rsid w:val="00135228"/>
    <w:rsid w:val="00140096"/>
    <w:rsid w:val="0014050D"/>
    <w:rsid w:val="001409A1"/>
    <w:rsid w:val="00145648"/>
    <w:rsid w:val="001476BC"/>
    <w:rsid w:val="00150BE0"/>
    <w:rsid w:val="00152489"/>
    <w:rsid w:val="001541FD"/>
    <w:rsid w:val="00156697"/>
    <w:rsid w:val="0016045B"/>
    <w:rsid w:val="00160929"/>
    <w:rsid w:val="00161CE1"/>
    <w:rsid w:val="0016735C"/>
    <w:rsid w:val="00170424"/>
    <w:rsid w:val="00171BF2"/>
    <w:rsid w:val="00172A27"/>
    <w:rsid w:val="00173213"/>
    <w:rsid w:val="0017354F"/>
    <w:rsid w:val="0017687B"/>
    <w:rsid w:val="0017739B"/>
    <w:rsid w:val="001777D9"/>
    <w:rsid w:val="00177939"/>
    <w:rsid w:val="001802EE"/>
    <w:rsid w:val="00181EBE"/>
    <w:rsid w:val="00182CE3"/>
    <w:rsid w:val="00187243"/>
    <w:rsid w:val="00191902"/>
    <w:rsid w:val="001931A9"/>
    <w:rsid w:val="001941CB"/>
    <w:rsid w:val="0019641F"/>
    <w:rsid w:val="00196A57"/>
    <w:rsid w:val="001A1057"/>
    <w:rsid w:val="001A11D3"/>
    <w:rsid w:val="001A16F0"/>
    <w:rsid w:val="001A345B"/>
    <w:rsid w:val="001A439F"/>
    <w:rsid w:val="001A7021"/>
    <w:rsid w:val="001A778B"/>
    <w:rsid w:val="001B1A3D"/>
    <w:rsid w:val="001B1AC5"/>
    <w:rsid w:val="001B209C"/>
    <w:rsid w:val="001B4AF0"/>
    <w:rsid w:val="001C044D"/>
    <w:rsid w:val="001C3A41"/>
    <w:rsid w:val="001C42F4"/>
    <w:rsid w:val="001C71C1"/>
    <w:rsid w:val="001D5886"/>
    <w:rsid w:val="001D59E4"/>
    <w:rsid w:val="001D6049"/>
    <w:rsid w:val="001E384A"/>
    <w:rsid w:val="001E5A19"/>
    <w:rsid w:val="001E6495"/>
    <w:rsid w:val="001E6952"/>
    <w:rsid w:val="001F0522"/>
    <w:rsid w:val="001F1B74"/>
    <w:rsid w:val="001F1B76"/>
    <w:rsid w:val="001F5235"/>
    <w:rsid w:val="001F68CD"/>
    <w:rsid w:val="001F7344"/>
    <w:rsid w:val="0020001A"/>
    <w:rsid w:val="00200027"/>
    <w:rsid w:val="00202834"/>
    <w:rsid w:val="002037B5"/>
    <w:rsid w:val="00203A59"/>
    <w:rsid w:val="00203E7C"/>
    <w:rsid w:val="00206811"/>
    <w:rsid w:val="00206B1C"/>
    <w:rsid w:val="00210914"/>
    <w:rsid w:val="00213426"/>
    <w:rsid w:val="002141B8"/>
    <w:rsid w:val="00223DD9"/>
    <w:rsid w:val="00231050"/>
    <w:rsid w:val="002342F9"/>
    <w:rsid w:val="00234D6B"/>
    <w:rsid w:val="00235C0A"/>
    <w:rsid w:val="0023703B"/>
    <w:rsid w:val="002378E7"/>
    <w:rsid w:val="00237D6C"/>
    <w:rsid w:val="00245A1D"/>
    <w:rsid w:val="002509CD"/>
    <w:rsid w:val="0025501C"/>
    <w:rsid w:val="0026069F"/>
    <w:rsid w:val="00260B2C"/>
    <w:rsid w:val="002615E9"/>
    <w:rsid w:val="002619E5"/>
    <w:rsid w:val="0026268A"/>
    <w:rsid w:val="002643F6"/>
    <w:rsid w:val="00265A44"/>
    <w:rsid w:val="00271141"/>
    <w:rsid w:val="0027280E"/>
    <w:rsid w:val="00273193"/>
    <w:rsid w:val="002753D1"/>
    <w:rsid w:val="00275C4B"/>
    <w:rsid w:val="002765B0"/>
    <w:rsid w:val="0028016B"/>
    <w:rsid w:val="0028115B"/>
    <w:rsid w:val="002813EE"/>
    <w:rsid w:val="002826BE"/>
    <w:rsid w:val="0028548C"/>
    <w:rsid w:val="002859A1"/>
    <w:rsid w:val="0028752B"/>
    <w:rsid w:val="00292BC8"/>
    <w:rsid w:val="0029346D"/>
    <w:rsid w:val="00297416"/>
    <w:rsid w:val="002A03E2"/>
    <w:rsid w:val="002A0F8C"/>
    <w:rsid w:val="002A21F1"/>
    <w:rsid w:val="002A5D71"/>
    <w:rsid w:val="002A6839"/>
    <w:rsid w:val="002A766F"/>
    <w:rsid w:val="002B0014"/>
    <w:rsid w:val="002B083E"/>
    <w:rsid w:val="002B3AA4"/>
    <w:rsid w:val="002B6A18"/>
    <w:rsid w:val="002B70B3"/>
    <w:rsid w:val="002C1479"/>
    <w:rsid w:val="002C2D65"/>
    <w:rsid w:val="002C2E75"/>
    <w:rsid w:val="002C4B8E"/>
    <w:rsid w:val="002D36A8"/>
    <w:rsid w:val="002D3CAB"/>
    <w:rsid w:val="002D6C5D"/>
    <w:rsid w:val="002D7F81"/>
    <w:rsid w:val="002E1BD1"/>
    <w:rsid w:val="002E1EB8"/>
    <w:rsid w:val="002E34B7"/>
    <w:rsid w:val="002E417F"/>
    <w:rsid w:val="002E4C70"/>
    <w:rsid w:val="002E5FF0"/>
    <w:rsid w:val="002E7C19"/>
    <w:rsid w:val="002F0AEE"/>
    <w:rsid w:val="002F1BB8"/>
    <w:rsid w:val="002F43D9"/>
    <w:rsid w:val="00303A95"/>
    <w:rsid w:val="0030429F"/>
    <w:rsid w:val="00305C71"/>
    <w:rsid w:val="003079C9"/>
    <w:rsid w:val="00311567"/>
    <w:rsid w:val="003138CF"/>
    <w:rsid w:val="0031410D"/>
    <w:rsid w:val="00315A96"/>
    <w:rsid w:val="00315CA9"/>
    <w:rsid w:val="00317873"/>
    <w:rsid w:val="00320175"/>
    <w:rsid w:val="00320266"/>
    <w:rsid w:val="003203A6"/>
    <w:rsid w:val="00320968"/>
    <w:rsid w:val="003314A3"/>
    <w:rsid w:val="00333EB4"/>
    <w:rsid w:val="00334CD3"/>
    <w:rsid w:val="00335900"/>
    <w:rsid w:val="00336557"/>
    <w:rsid w:val="00336E3C"/>
    <w:rsid w:val="0035344B"/>
    <w:rsid w:val="00353E99"/>
    <w:rsid w:val="00365B69"/>
    <w:rsid w:val="003671B6"/>
    <w:rsid w:val="00372D66"/>
    <w:rsid w:val="00381101"/>
    <w:rsid w:val="0039066B"/>
    <w:rsid w:val="003928C8"/>
    <w:rsid w:val="003933F5"/>
    <w:rsid w:val="00395EB2"/>
    <w:rsid w:val="003A2A0E"/>
    <w:rsid w:val="003A366B"/>
    <w:rsid w:val="003A5FB8"/>
    <w:rsid w:val="003B2D4B"/>
    <w:rsid w:val="003B7435"/>
    <w:rsid w:val="003C1A89"/>
    <w:rsid w:val="003C2BB4"/>
    <w:rsid w:val="003C3460"/>
    <w:rsid w:val="003C39EE"/>
    <w:rsid w:val="003C4CD4"/>
    <w:rsid w:val="003D32C6"/>
    <w:rsid w:val="003D4314"/>
    <w:rsid w:val="003D43D7"/>
    <w:rsid w:val="003D621C"/>
    <w:rsid w:val="003D7143"/>
    <w:rsid w:val="003E30B5"/>
    <w:rsid w:val="003E489F"/>
    <w:rsid w:val="003E6787"/>
    <w:rsid w:val="003E7ED4"/>
    <w:rsid w:val="003F0904"/>
    <w:rsid w:val="003F1444"/>
    <w:rsid w:val="003F1709"/>
    <w:rsid w:val="003F3A95"/>
    <w:rsid w:val="00400729"/>
    <w:rsid w:val="00402475"/>
    <w:rsid w:val="004104DD"/>
    <w:rsid w:val="00410834"/>
    <w:rsid w:val="00414132"/>
    <w:rsid w:val="00414B8A"/>
    <w:rsid w:val="00416FAF"/>
    <w:rsid w:val="004177D5"/>
    <w:rsid w:val="0042513D"/>
    <w:rsid w:val="00425262"/>
    <w:rsid w:val="00426A66"/>
    <w:rsid w:val="00432E78"/>
    <w:rsid w:val="0044473A"/>
    <w:rsid w:val="00445111"/>
    <w:rsid w:val="00446CF3"/>
    <w:rsid w:val="00450BF7"/>
    <w:rsid w:val="00452869"/>
    <w:rsid w:val="004536D9"/>
    <w:rsid w:val="00454609"/>
    <w:rsid w:val="00456C30"/>
    <w:rsid w:val="00463ADD"/>
    <w:rsid w:val="00467D62"/>
    <w:rsid w:val="00470831"/>
    <w:rsid w:val="00470E00"/>
    <w:rsid w:val="00470FC4"/>
    <w:rsid w:val="0047190A"/>
    <w:rsid w:val="00472D90"/>
    <w:rsid w:val="00473A3B"/>
    <w:rsid w:val="004775BB"/>
    <w:rsid w:val="0047789E"/>
    <w:rsid w:val="00483B94"/>
    <w:rsid w:val="004919B9"/>
    <w:rsid w:val="004A1F05"/>
    <w:rsid w:val="004A302C"/>
    <w:rsid w:val="004A3A1C"/>
    <w:rsid w:val="004B1120"/>
    <w:rsid w:val="004B2D6D"/>
    <w:rsid w:val="004B50B6"/>
    <w:rsid w:val="004B665B"/>
    <w:rsid w:val="004C067D"/>
    <w:rsid w:val="004C07A0"/>
    <w:rsid w:val="004C101C"/>
    <w:rsid w:val="004C3399"/>
    <w:rsid w:val="004C632F"/>
    <w:rsid w:val="004D058D"/>
    <w:rsid w:val="004D08D3"/>
    <w:rsid w:val="004D598C"/>
    <w:rsid w:val="004D6E8B"/>
    <w:rsid w:val="004E1A45"/>
    <w:rsid w:val="004E4232"/>
    <w:rsid w:val="004E63B0"/>
    <w:rsid w:val="004E7906"/>
    <w:rsid w:val="004F4BCB"/>
    <w:rsid w:val="00500374"/>
    <w:rsid w:val="00500990"/>
    <w:rsid w:val="0050196E"/>
    <w:rsid w:val="00503160"/>
    <w:rsid w:val="00503A4D"/>
    <w:rsid w:val="00506464"/>
    <w:rsid w:val="0051126D"/>
    <w:rsid w:val="005220D4"/>
    <w:rsid w:val="00522491"/>
    <w:rsid w:val="0052403C"/>
    <w:rsid w:val="00525D4B"/>
    <w:rsid w:val="00526A0B"/>
    <w:rsid w:val="0052716C"/>
    <w:rsid w:val="0053033A"/>
    <w:rsid w:val="00533CF7"/>
    <w:rsid w:val="00540E9C"/>
    <w:rsid w:val="00542318"/>
    <w:rsid w:val="00544AA8"/>
    <w:rsid w:val="005458F2"/>
    <w:rsid w:val="00545FAD"/>
    <w:rsid w:val="00552246"/>
    <w:rsid w:val="005527D7"/>
    <w:rsid w:val="00552ECD"/>
    <w:rsid w:val="00553D6E"/>
    <w:rsid w:val="00562983"/>
    <w:rsid w:val="00572055"/>
    <w:rsid w:val="0057297A"/>
    <w:rsid w:val="00576F1B"/>
    <w:rsid w:val="0058757D"/>
    <w:rsid w:val="00587714"/>
    <w:rsid w:val="00592EF8"/>
    <w:rsid w:val="00596A75"/>
    <w:rsid w:val="005A0FB4"/>
    <w:rsid w:val="005A43E8"/>
    <w:rsid w:val="005A5747"/>
    <w:rsid w:val="005B27EC"/>
    <w:rsid w:val="005B29D2"/>
    <w:rsid w:val="005B34A4"/>
    <w:rsid w:val="005B590A"/>
    <w:rsid w:val="005B74C7"/>
    <w:rsid w:val="005B7838"/>
    <w:rsid w:val="005C41CD"/>
    <w:rsid w:val="005D08A2"/>
    <w:rsid w:val="005D2283"/>
    <w:rsid w:val="005D337D"/>
    <w:rsid w:val="005D4165"/>
    <w:rsid w:val="005D46E9"/>
    <w:rsid w:val="005D6EE7"/>
    <w:rsid w:val="005E202F"/>
    <w:rsid w:val="005E4D63"/>
    <w:rsid w:val="005F2F12"/>
    <w:rsid w:val="005F543B"/>
    <w:rsid w:val="005F5FCF"/>
    <w:rsid w:val="006041EA"/>
    <w:rsid w:val="00605FCA"/>
    <w:rsid w:val="00612AAA"/>
    <w:rsid w:val="00613793"/>
    <w:rsid w:val="0061618E"/>
    <w:rsid w:val="006260BF"/>
    <w:rsid w:val="00626E2C"/>
    <w:rsid w:val="00627784"/>
    <w:rsid w:val="00627BFC"/>
    <w:rsid w:val="00630297"/>
    <w:rsid w:val="00633A91"/>
    <w:rsid w:val="00636D7C"/>
    <w:rsid w:val="0064079C"/>
    <w:rsid w:val="00640E9F"/>
    <w:rsid w:val="0065025D"/>
    <w:rsid w:val="006503DC"/>
    <w:rsid w:val="00651727"/>
    <w:rsid w:val="006518D1"/>
    <w:rsid w:val="0065779B"/>
    <w:rsid w:val="00661684"/>
    <w:rsid w:val="006638ED"/>
    <w:rsid w:val="00670AE3"/>
    <w:rsid w:val="00675767"/>
    <w:rsid w:val="00680FC5"/>
    <w:rsid w:val="00681D63"/>
    <w:rsid w:val="0068627D"/>
    <w:rsid w:val="006878A3"/>
    <w:rsid w:val="00690263"/>
    <w:rsid w:val="00690F36"/>
    <w:rsid w:val="00691444"/>
    <w:rsid w:val="006942B9"/>
    <w:rsid w:val="006A0BBB"/>
    <w:rsid w:val="006A5502"/>
    <w:rsid w:val="006B1303"/>
    <w:rsid w:val="006B2F6E"/>
    <w:rsid w:val="006B3711"/>
    <w:rsid w:val="006B697F"/>
    <w:rsid w:val="006C0CBD"/>
    <w:rsid w:val="006C3C86"/>
    <w:rsid w:val="006C7226"/>
    <w:rsid w:val="006D1992"/>
    <w:rsid w:val="006D2DE6"/>
    <w:rsid w:val="006D3A19"/>
    <w:rsid w:val="006D62CC"/>
    <w:rsid w:val="006E23BC"/>
    <w:rsid w:val="006E2DE4"/>
    <w:rsid w:val="006E3A03"/>
    <w:rsid w:val="006E7BFA"/>
    <w:rsid w:val="006F79B8"/>
    <w:rsid w:val="0070678E"/>
    <w:rsid w:val="00720EF0"/>
    <w:rsid w:val="00721747"/>
    <w:rsid w:val="00721B68"/>
    <w:rsid w:val="00725F16"/>
    <w:rsid w:val="00727653"/>
    <w:rsid w:val="00730359"/>
    <w:rsid w:val="00733567"/>
    <w:rsid w:val="00740453"/>
    <w:rsid w:val="00740AD6"/>
    <w:rsid w:val="00742D8A"/>
    <w:rsid w:val="00743D48"/>
    <w:rsid w:val="007442EB"/>
    <w:rsid w:val="00747171"/>
    <w:rsid w:val="00754B47"/>
    <w:rsid w:val="00754EC8"/>
    <w:rsid w:val="00754F8A"/>
    <w:rsid w:val="0076632D"/>
    <w:rsid w:val="007672FD"/>
    <w:rsid w:val="00767581"/>
    <w:rsid w:val="00771877"/>
    <w:rsid w:val="00773379"/>
    <w:rsid w:val="00773EBD"/>
    <w:rsid w:val="007853C4"/>
    <w:rsid w:val="00786A34"/>
    <w:rsid w:val="007878E8"/>
    <w:rsid w:val="00795B5C"/>
    <w:rsid w:val="007A076E"/>
    <w:rsid w:val="007A30EF"/>
    <w:rsid w:val="007A40B3"/>
    <w:rsid w:val="007A7D1C"/>
    <w:rsid w:val="007B30EA"/>
    <w:rsid w:val="007B3464"/>
    <w:rsid w:val="007B467C"/>
    <w:rsid w:val="007C0EC8"/>
    <w:rsid w:val="007C1E3A"/>
    <w:rsid w:val="007C3BC5"/>
    <w:rsid w:val="007C7D2C"/>
    <w:rsid w:val="007D0559"/>
    <w:rsid w:val="007D3BFE"/>
    <w:rsid w:val="007D5669"/>
    <w:rsid w:val="007D5D9A"/>
    <w:rsid w:val="007E1186"/>
    <w:rsid w:val="007E3BA4"/>
    <w:rsid w:val="007E4612"/>
    <w:rsid w:val="007E53D5"/>
    <w:rsid w:val="007E58E9"/>
    <w:rsid w:val="007E5979"/>
    <w:rsid w:val="007F3308"/>
    <w:rsid w:val="007F4EFF"/>
    <w:rsid w:val="008009E2"/>
    <w:rsid w:val="0080268B"/>
    <w:rsid w:val="008029B6"/>
    <w:rsid w:val="00810352"/>
    <w:rsid w:val="00814241"/>
    <w:rsid w:val="008153BD"/>
    <w:rsid w:val="00823B16"/>
    <w:rsid w:val="00827151"/>
    <w:rsid w:val="00827654"/>
    <w:rsid w:val="00827DC3"/>
    <w:rsid w:val="008303DB"/>
    <w:rsid w:val="008323B1"/>
    <w:rsid w:val="00836820"/>
    <w:rsid w:val="0083773E"/>
    <w:rsid w:val="008432A8"/>
    <w:rsid w:val="00843DEC"/>
    <w:rsid w:val="008446AE"/>
    <w:rsid w:val="00844929"/>
    <w:rsid w:val="008466F0"/>
    <w:rsid w:val="00852AE6"/>
    <w:rsid w:val="00853AB6"/>
    <w:rsid w:val="00853CDC"/>
    <w:rsid w:val="00854B4B"/>
    <w:rsid w:val="008554EE"/>
    <w:rsid w:val="00855C24"/>
    <w:rsid w:val="00857D55"/>
    <w:rsid w:val="0086085B"/>
    <w:rsid w:val="00862A42"/>
    <w:rsid w:val="0086384A"/>
    <w:rsid w:val="0086771F"/>
    <w:rsid w:val="00871150"/>
    <w:rsid w:val="0087367D"/>
    <w:rsid w:val="0087518D"/>
    <w:rsid w:val="00877475"/>
    <w:rsid w:val="00880E34"/>
    <w:rsid w:val="00883898"/>
    <w:rsid w:val="00884715"/>
    <w:rsid w:val="008870A4"/>
    <w:rsid w:val="00887525"/>
    <w:rsid w:val="00887641"/>
    <w:rsid w:val="00887BF0"/>
    <w:rsid w:val="00893800"/>
    <w:rsid w:val="0089431A"/>
    <w:rsid w:val="00895B8C"/>
    <w:rsid w:val="0089751A"/>
    <w:rsid w:val="008A117A"/>
    <w:rsid w:val="008A1CAE"/>
    <w:rsid w:val="008A2CEF"/>
    <w:rsid w:val="008A4068"/>
    <w:rsid w:val="008A785E"/>
    <w:rsid w:val="008B38DA"/>
    <w:rsid w:val="008C2980"/>
    <w:rsid w:val="008C2A7A"/>
    <w:rsid w:val="008C323C"/>
    <w:rsid w:val="008D226D"/>
    <w:rsid w:val="008D33DC"/>
    <w:rsid w:val="008D37A8"/>
    <w:rsid w:val="008D3A84"/>
    <w:rsid w:val="008E3BAE"/>
    <w:rsid w:val="008E5A6A"/>
    <w:rsid w:val="008F2218"/>
    <w:rsid w:val="008F2CC3"/>
    <w:rsid w:val="0090671F"/>
    <w:rsid w:val="00907A90"/>
    <w:rsid w:val="00914D9D"/>
    <w:rsid w:val="00916EE4"/>
    <w:rsid w:val="00922F01"/>
    <w:rsid w:val="0092446B"/>
    <w:rsid w:val="00927369"/>
    <w:rsid w:val="00927DB6"/>
    <w:rsid w:val="00931B4E"/>
    <w:rsid w:val="00932D3D"/>
    <w:rsid w:val="009343FF"/>
    <w:rsid w:val="009352F7"/>
    <w:rsid w:val="00935A7B"/>
    <w:rsid w:val="00936C02"/>
    <w:rsid w:val="00937B8D"/>
    <w:rsid w:val="00942837"/>
    <w:rsid w:val="00943994"/>
    <w:rsid w:val="00945099"/>
    <w:rsid w:val="00945FFD"/>
    <w:rsid w:val="00950EAC"/>
    <w:rsid w:val="00954757"/>
    <w:rsid w:val="00955444"/>
    <w:rsid w:val="00961221"/>
    <w:rsid w:val="00962CED"/>
    <w:rsid w:val="00962FD9"/>
    <w:rsid w:val="009634CC"/>
    <w:rsid w:val="009637EE"/>
    <w:rsid w:val="009650D4"/>
    <w:rsid w:val="009660F2"/>
    <w:rsid w:val="00966C20"/>
    <w:rsid w:val="00975CBA"/>
    <w:rsid w:val="0098283D"/>
    <w:rsid w:val="009A0610"/>
    <w:rsid w:val="009A0CAC"/>
    <w:rsid w:val="009A374E"/>
    <w:rsid w:val="009B187F"/>
    <w:rsid w:val="009B1C21"/>
    <w:rsid w:val="009B1C9B"/>
    <w:rsid w:val="009B486A"/>
    <w:rsid w:val="009B6ECB"/>
    <w:rsid w:val="009B6F9D"/>
    <w:rsid w:val="009C1A5D"/>
    <w:rsid w:val="009C4F15"/>
    <w:rsid w:val="009C5FDC"/>
    <w:rsid w:val="009D0724"/>
    <w:rsid w:val="009D6BD0"/>
    <w:rsid w:val="009E2221"/>
    <w:rsid w:val="009E32D6"/>
    <w:rsid w:val="009E34EC"/>
    <w:rsid w:val="009E4B42"/>
    <w:rsid w:val="009E4D66"/>
    <w:rsid w:val="009E6716"/>
    <w:rsid w:val="009E6768"/>
    <w:rsid w:val="009F0332"/>
    <w:rsid w:val="009F3319"/>
    <w:rsid w:val="009F3BF9"/>
    <w:rsid w:val="009F4D7D"/>
    <w:rsid w:val="00A00AB0"/>
    <w:rsid w:val="00A038AE"/>
    <w:rsid w:val="00A03D19"/>
    <w:rsid w:val="00A04FBE"/>
    <w:rsid w:val="00A05FB4"/>
    <w:rsid w:val="00A06912"/>
    <w:rsid w:val="00A071C6"/>
    <w:rsid w:val="00A10269"/>
    <w:rsid w:val="00A122F8"/>
    <w:rsid w:val="00A17D58"/>
    <w:rsid w:val="00A20252"/>
    <w:rsid w:val="00A27D84"/>
    <w:rsid w:val="00A37D38"/>
    <w:rsid w:val="00A40A21"/>
    <w:rsid w:val="00A41BD1"/>
    <w:rsid w:val="00A43B44"/>
    <w:rsid w:val="00A45BBB"/>
    <w:rsid w:val="00A500B8"/>
    <w:rsid w:val="00A50C63"/>
    <w:rsid w:val="00A54094"/>
    <w:rsid w:val="00A54643"/>
    <w:rsid w:val="00A556EC"/>
    <w:rsid w:val="00A600A2"/>
    <w:rsid w:val="00A617E9"/>
    <w:rsid w:val="00A66292"/>
    <w:rsid w:val="00A75921"/>
    <w:rsid w:val="00A7604C"/>
    <w:rsid w:val="00A8062B"/>
    <w:rsid w:val="00A84284"/>
    <w:rsid w:val="00A84D4F"/>
    <w:rsid w:val="00A84FB2"/>
    <w:rsid w:val="00A87A83"/>
    <w:rsid w:val="00A96C43"/>
    <w:rsid w:val="00A97A8B"/>
    <w:rsid w:val="00AA4A63"/>
    <w:rsid w:val="00AA676A"/>
    <w:rsid w:val="00AB0584"/>
    <w:rsid w:val="00AB17B4"/>
    <w:rsid w:val="00AB6021"/>
    <w:rsid w:val="00AB73C3"/>
    <w:rsid w:val="00AC1B27"/>
    <w:rsid w:val="00AC229B"/>
    <w:rsid w:val="00AC5C35"/>
    <w:rsid w:val="00AD227E"/>
    <w:rsid w:val="00AD5DEB"/>
    <w:rsid w:val="00AE3F2E"/>
    <w:rsid w:val="00AE65A2"/>
    <w:rsid w:val="00AF1098"/>
    <w:rsid w:val="00AF4630"/>
    <w:rsid w:val="00B001E0"/>
    <w:rsid w:val="00B00E61"/>
    <w:rsid w:val="00B01992"/>
    <w:rsid w:val="00B01DD4"/>
    <w:rsid w:val="00B07ECD"/>
    <w:rsid w:val="00B11763"/>
    <w:rsid w:val="00B11C55"/>
    <w:rsid w:val="00B15EB8"/>
    <w:rsid w:val="00B20F12"/>
    <w:rsid w:val="00B25755"/>
    <w:rsid w:val="00B3050E"/>
    <w:rsid w:val="00B35439"/>
    <w:rsid w:val="00B3791C"/>
    <w:rsid w:val="00B37B1B"/>
    <w:rsid w:val="00B37D90"/>
    <w:rsid w:val="00B41D5E"/>
    <w:rsid w:val="00B4263D"/>
    <w:rsid w:val="00B469FD"/>
    <w:rsid w:val="00B50E54"/>
    <w:rsid w:val="00B53F83"/>
    <w:rsid w:val="00B56C20"/>
    <w:rsid w:val="00B56EB8"/>
    <w:rsid w:val="00B60DC9"/>
    <w:rsid w:val="00B662D7"/>
    <w:rsid w:val="00B7125D"/>
    <w:rsid w:val="00B71E9E"/>
    <w:rsid w:val="00B755AC"/>
    <w:rsid w:val="00B769B0"/>
    <w:rsid w:val="00B772B0"/>
    <w:rsid w:val="00B7766F"/>
    <w:rsid w:val="00B81A4A"/>
    <w:rsid w:val="00B82EE3"/>
    <w:rsid w:val="00B904C6"/>
    <w:rsid w:val="00B90828"/>
    <w:rsid w:val="00B91F8E"/>
    <w:rsid w:val="00BA0B95"/>
    <w:rsid w:val="00BA1095"/>
    <w:rsid w:val="00BA3B96"/>
    <w:rsid w:val="00BA41C0"/>
    <w:rsid w:val="00BA737E"/>
    <w:rsid w:val="00BA74D8"/>
    <w:rsid w:val="00BB69CE"/>
    <w:rsid w:val="00BB726B"/>
    <w:rsid w:val="00BC1589"/>
    <w:rsid w:val="00BC20DA"/>
    <w:rsid w:val="00BC4390"/>
    <w:rsid w:val="00BC6F09"/>
    <w:rsid w:val="00BC7578"/>
    <w:rsid w:val="00BD0049"/>
    <w:rsid w:val="00BD119C"/>
    <w:rsid w:val="00BD16CA"/>
    <w:rsid w:val="00BD2C9A"/>
    <w:rsid w:val="00BD2CD0"/>
    <w:rsid w:val="00BD7D7A"/>
    <w:rsid w:val="00BE0955"/>
    <w:rsid w:val="00BE150C"/>
    <w:rsid w:val="00BE1F76"/>
    <w:rsid w:val="00BE2497"/>
    <w:rsid w:val="00BE27BE"/>
    <w:rsid w:val="00BE3564"/>
    <w:rsid w:val="00BE464F"/>
    <w:rsid w:val="00BE6E17"/>
    <w:rsid w:val="00BF1245"/>
    <w:rsid w:val="00BF2030"/>
    <w:rsid w:val="00BF41D5"/>
    <w:rsid w:val="00BF4C96"/>
    <w:rsid w:val="00BF5133"/>
    <w:rsid w:val="00BF63DA"/>
    <w:rsid w:val="00BF762F"/>
    <w:rsid w:val="00C02210"/>
    <w:rsid w:val="00C03078"/>
    <w:rsid w:val="00C03DA7"/>
    <w:rsid w:val="00C05561"/>
    <w:rsid w:val="00C06AC3"/>
    <w:rsid w:val="00C10258"/>
    <w:rsid w:val="00C12C61"/>
    <w:rsid w:val="00C16464"/>
    <w:rsid w:val="00C178D1"/>
    <w:rsid w:val="00C22553"/>
    <w:rsid w:val="00C22D53"/>
    <w:rsid w:val="00C22DAB"/>
    <w:rsid w:val="00C23E8C"/>
    <w:rsid w:val="00C34804"/>
    <w:rsid w:val="00C41F40"/>
    <w:rsid w:val="00C507F3"/>
    <w:rsid w:val="00C52A84"/>
    <w:rsid w:val="00C5306C"/>
    <w:rsid w:val="00C55B11"/>
    <w:rsid w:val="00C57AB3"/>
    <w:rsid w:val="00C6205B"/>
    <w:rsid w:val="00C633DB"/>
    <w:rsid w:val="00C642A0"/>
    <w:rsid w:val="00C64DA1"/>
    <w:rsid w:val="00C65000"/>
    <w:rsid w:val="00C6604A"/>
    <w:rsid w:val="00C71C98"/>
    <w:rsid w:val="00C73773"/>
    <w:rsid w:val="00C73792"/>
    <w:rsid w:val="00C80B10"/>
    <w:rsid w:val="00C815B1"/>
    <w:rsid w:val="00C817D2"/>
    <w:rsid w:val="00C820CB"/>
    <w:rsid w:val="00C8382D"/>
    <w:rsid w:val="00C83AA6"/>
    <w:rsid w:val="00C84648"/>
    <w:rsid w:val="00C85724"/>
    <w:rsid w:val="00C863D0"/>
    <w:rsid w:val="00C87D15"/>
    <w:rsid w:val="00C90BD9"/>
    <w:rsid w:val="00C90F11"/>
    <w:rsid w:val="00C910DF"/>
    <w:rsid w:val="00C9170F"/>
    <w:rsid w:val="00C917F6"/>
    <w:rsid w:val="00C950B5"/>
    <w:rsid w:val="00C952A4"/>
    <w:rsid w:val="00CA37D2"/>
    <w:rsid w:val="00CA711A"/>
    <w:rsid w:val="00CB1AA5"/>
    <w:rsid w:val="00CB33EC"/>
    <w:rsid w:val="00CB7979"/>
    <w:rsid w:val="00CC09C3"/>
    <w:rsid w:val="00CC10F0"/>
    <w:rsid w:val="00CC4941"/>
    <w:rsid w:val="00CD1F11"/>
    <w:rsid w:val="00CD32D0"/>
    <w:rsid w:val="00CD41E2"/>
    <w:rsid w:val="00CD45A8"/>
    <w:rsid w:val="00CD482A"/>
    <w:rsid w:val="00CD664F"/>
    <w:rsid w:val="00CE10A0"/>
    <w:rsid w:val="00CE1751"/>
    <w:rsid w:val="00CE2090"/>
    <w:rsid w:val="00CE5EDA"/>
    <w:rsid w:val="00CE67BC"/>
    <w:rsid w:val="00CF4C5C"/>
    <w:rsid w:val="00CF57BD"/>
    <w:rsid w:val="00D03AA1"/>
    <w:rsid w:val="00D04CA5"/>
    <w:rsid w:val="00D11652"/>
    <w:rsid w:val="00D12FF3"/>
    <w:rsid w:val="00D131CD"/>
    <w:rsid w:val="00D14D4D"/>
    <w:rsid w:val="00D257C0"/>
    <w:rsid w:val="00D301B7"/>
    <w:rsid w:val="00D357E4"/>
    <w:rsid w:val="00D35C27"/>
    <w:rsid w:val="00D35F3A"/>
    <w:rsid w:val="00D4012C"/>
    <w:rsid w:val="00D40199"/>
    <w:rsid w:val="00D44233"/>
    <w:rsid w:val="00D44EFF"/>
    <w:rsid w:val="00D46CAC"/>
    <w:rsid w:val="00D538F6"/>
    <w:rsid w:val="00D53E19"/>
    <w:rsid w:val="00D544DF"/>
    <w:rsid w:val="00D5632B"/>
    <w:rsid w:val="00D62A0D"/>
    <w:rsid w:val="00D62AF1"/>
    <w:rsid w:val="00D65A00"/>
    <w:rsid w:val="00D666B3"/>
    <w:rsid w:val="00D70E6C"/>
    <w:rsid w:val="00D71147"/>
    <w:rsid w:val="00D76A31"/>
    <w:rsid w:val="00D82B44"/>
    <w:rsid w:val="00D92812"/>
    <w:rsid w:val="00D9380F"/>
    <w:rsid w:val="00D93B3A"/>
    <w:rsid w:val="00D96D91"/>
    <w:rsid w:val="00D978A3"/>
    <w:rsid w:val="00D97CBC"/>
    <w:rsid w:val="00DA1035"/>
    <w:rsid w:val="00DA205D"/>
    <w:rsid w:val="00DA2C81"/>
    <w:rsid w:val="00DB26C4"/>
    <w:rsid w:val="00DB408D"/>
    <w:rsid w:val="00DB6979"/>
    <w:rsid w:val="00DC0313"/>
    <w:rsid w:val="00DC49AB"/>
    <w:rsid w:val="00DC4A3C"/>
    <w:rsid w:val="00DC7FBC"/>
    <w:rsid w:val="00DD075D"/>
    <w:rsid w:val="00DD0B3E"/>
    <w:rsid w:val="00DD35DC"/>
    <w:rsid w:val="00DD54FA"/>
    <w:rsid w:val="00DD61EE"/>
    <w:rsid w:val="00DD628E"/>
    <w:rsid w:val="00DD7ACE"/>
    <w:rsid w:val="00DD7B30"/>
    <w:rsid w:val="00DE02E4"/>
    <w:rsid w:val="00DE2096"/>
    <w:rsid w:val="00DF01EC"/>
    <w:rsid w:val="00DF070F"/>
    <w:rsid w:val="00DF2017"/>
    <w:rsid w:val="00DF38D8"/>
    <w:rsid w:val="00DF3DF4"/>
    <w:rsid w:val="00DF40B4"/>
    <w:rsid w:val="00DF7A8C"/>
    <w:rsid w:val="00E00513"/>
    <w:rsid w:val="00E035BD"/>
    <w:rsid w:val="00E0792A"/>
    <w:rsid w:val="00E1721A"/>
    <w:rsid w:val="00E24A56"/>
    <w:rsid w:val="00E262A2"/>
    <w:rsid w:val="00E31EB0"/>
    <w:rsid w:val="00E3303D"/>
    <w:rsid w:val="00E356F3"/>
    <w:rsid w:val="00E36A09"/>
    <w:rsid w:val="00E36E0A"/>
    <w:rsid w:val="00E42924"/>
    <w:rsid w:val="00E501A9"/>
    <w:rsid w:val="00E6146B"/>
    <w:rsid w:val="00E742A2"/>
    <w:rsid w:val="00E74C31"/>
    <w:rsid w:val="00E7675A"/>
    <w:rsid w:val="00E80BFD"/>
    <w:rsid w:val="00E80FAF"/>
    <w:rsid w:val="00E83BC2"/>
    <w:rsid w:val="00E867E8"/>
    <w:rsid w:val="00E87324"/>
    <w:rsid w:val="00E91C81"/>
    <w:rsid w:val="00E936EC"/>
    <w:rsid w:val="00E93A0D"/>
    <w:rsid w:val="00E95C1A"/>
    <w:rsid w:val="00E97BBA"/>
    <w:rsid w:val="00E97C0A"/>
    <w:rsid w:val="00EA076A"/>
    <w:rsid w:val="00EA2D45"/>
    <w:rsid w:val="00EB067F"/>
    <w:rsid w:val="00EB5585"/>
    <w:rsid w:val="00EB5A67"/>
    <w:rsid w:val="00EC0056"/>
    <w:rsid w:val="00EC2549"/>
    <w:rsid w:val="00EC3C3F"/>
    <w:rsid w:val="00EC457B"/>
    <w:rsid w:val="00EC62E0"/>
    <w:rsid w:val="00ED1389"/>
    <w:rsid w:val="00ED1D67"/>
    <w:rsid w:val="00ED3E4C"/>
    <w:rsid w:val="00ED617C"/>
    <w:rsid w:val="00ED6F15"/>
    <w:rsid w:val="00EE0523"/>
    <w:rsid w:val="00EE29F3"/>
    <w:rsid w:val="00EF1DD2"/>
    <w:rsid w:val="00EF2553"/>
    <w:rsid w:val="00EF313A"/>
    <w:rsid w:val="00EF5A17"/>
    <w:rsid w:val="00F00711"/>
    <w:rsid w:val="00F0108A"/>
    <w:rsid w:val="00F032CE"/>
    <w:rsid w:val="00F03E9E"/>
    <w:rsid w:val="00F0499A"/>
    <w:rsid w:val="00F05AB2"/>
    <w:rsid w:val="00F0674A"/>
    <w:rsid w:val="00F21099"/>
    <w:rsid w:val="00F231DD"/>
    <w:rsid w:val="00F243EC"/>
    <w:rsid w:val="00F263BA"/>
    <w:rsid w:val="00F26F53"/>
    <w:rsid w:val="00F30F3C"/>
    <w:rsid w:val="00F340A7"/>
    <w:rsid w:val="00F34EB4"/>
    <w:rsid w:val="00F37DAC"/>
    <w:rsid w:val="00F408EE"/>
    <w:rsid w:val="00F40FE3"/>
    <w:rsid w:val="00F4108F"/>
    <w:rsid w:val="00F414D6"/>
    <w:rsid w:val="00F41ED3"/>
    <w:rsid w:val="00F466C1"/>
    <w:rsid w:val="00F46A1C"/>
    <w:rsid w:val="00F46A5D"/>
    <w:rsid w:val="00F46ECE"/>
    <w:rsid w:val="00F476FF"/>
    <w:rsid w:val="00F51515"/>
    <w:rsid w:val="00F51614"/>
    <w:rsid w:val="00F517A5"/>
    <w:rsid w:val="00F51A55"/>
    <w:rsid w:val="00F54D1C"/>
    <w:rsid w:val="00F54FAF"/>
    <w:rsid w:val="00F63372"/>
    <w:rsid w:val="00F70203"/>
    <w:rsid w:val="00F718AD"/>
    <w:rsid w:val="00F71AF1"/>
    <w:rsid w:val="00F731D8"/>
    <w:rsid w:val="00F74DB5"/>
    <w:rsid w:val="00F82DFD"/>
    <w:rsid w:val="00F86234"/>
    <w:rsid w:val="00F86854"/>
    <w:rsid w:val="00F94442"/>
    <w:rsid w:val="00F97841"/>
    <w:rsid w:val="00FA2705"/>
    <w:rsid w:val="00FB48A8"/>
    <w:rsid w:val="00FB4A86"/>
    <w:rsid w:val="00FC3C2B"/>
    <w:rsid w:val="00FD0963"/>
    <w:rsid w:val="00FD1B49"/>
    <w:rsid w:val="00FD5192"/>
    <w:rsid w:val="00FD6AE4"/>
    <w:rsid w:val="00FE5E8C"/>
    <w:rsid w:val="00FE704A"/>
    <w:rsid w:val="00FE7B42"/>
    <w:rsid w:val="00FF4ACB"/>
    <w:rsid w:val="00FF6D24"/>
    <w:rsid w:val="7D3C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8"/>
    <w:uiPriority w:val="0"/>
    <w:pPr>
      <w:jc w:val="left"/>
    </w:pPr>
  </w:style>
  <w:style w:type="paragraph" w:styleId="4">
    <w:name w:val="Date"/>
    <w:basedOn w:val="1"/>
    <w:next w:val="1"/>
    <w:uiPriority w:val="0"/>
    <w:pPr>
      <w:ind w:left="100" w:leftChars="2500"/>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19"/>
    <w:uiPriority w:val="0"/>
    <w:rPr>
      <w:b/>
      <w:bCs/>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i/>
      <w:iCs/>
    </w:rPr>
  </w:style>
  <w:style w:type="character" w:styleId="15">
    <w:name w:val="Hyperlink"/>
    <w:qFormat/>
    <w:uiPriority w:val="0"/>
    <w:rPr>
      <w:color w:val="0000FF"/>
      <w:u w:val="single"/>
    </w:rPr>
  </w:style>
  <w:style w:type="character" w:styleId="16">
    <w:name w:val="annotation reference"/>
    <w:uiPriority w:val="0"/>
    <w:rPr>
      <w:sz w:val="21"/>
      <w:szCs w:val="21"/>
    </w:rPr>
  </w:style>
  <w:style w:type="character" w:customStyle="1" w:styleId="17">
    <w:name w:val="页眉 字符"/>
    <w:link w:val="7"/>
    <w:uiPriority w:val="0"/>
    <w:rPr>
      <w:kern w:val="2"/>
      <w:sz w:val="18"/>
      <w:szCs w:val="18"/>
    </w:rPr>
  </w:style>
  <w:style w:type="character" w:customStyle="1" w:styleId="18">
    <w:name w:val="批注文字 字符"/>
    <w:link w:val="3"/>
    <w:uiPriority w:val="0"/>
    <w:rPr>
      <w:kern w:val="2"/>
      <w:sz w:val="21"/>
      <w:szCs w:val="24"/>
    </w:rPr>
  </w:style>
  <w:style w:type="character" w:customStyle="1" w:styleId="19">
    <w:name w:val="批注主题 字符"/>
    <w:link w:val="9"/>
    <w:uiPriority w:val="0"/>
    <w:rPr>
      <w:b/>
      <w:bCs/>
      <w:kern w:val="2"/>
      <w:sz w:val="21"/>
      <w:szCs w:val="24"/>
    </w:rPr>
  </w:style>
  <w:style w:type="paragraph" w:customStyle="1" w:styleId="20">
    <w:name w:val="_Style 15"/>
    <w:basedOn w:val="1"/>
    <w:uiPriority w:val="0"/>
    <w:pPr>
      <w:adjustRightInd w:val="0"/>
      <w:spacing w:line="360" w:lineRule="atLeast"/>
      <w:textAlignment w:val="baseline"/>
    </w:pPr>
    <w:rPr>
      <w:rFonts w:eastAsia="仿宋_GB2312"/>
      <w:snapToGrid w:val="0"/>
      <w:kern w:val="0"/>
      <w:sz w:val="28"/>
    </w:rPr>
  </w:style>
  <w:style w:type="paragraph" w:customStyle="1" w:styleId="21">
    <w:name w:val="Char Char Char"/>
    <w:basedOn w:val="1"/>
    <w:uiPriority w:val="0"/>
    <w:pPr>
      <w:adjustRightInd w:val="0"/>
      <w:spacing w:line="360" w:lineRule="atLeast"/>
      <w:textAlignment w:val="baseline"/>
    </w:pPr>
    <w:rPr>
      <w:rFonts w:eastAsia="仿宋_GB2312"/>
      <w:snapToGrid w:val="0"/>
      <w:kern w:val="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C4B95-60CE-41AF-9E1B-EF4593816D57}">
  <ds:schemaRefs/>
</ds:datastoreItem>
</file>

<file path=docProps/app.xml><?xml version="1.0" encoding="utf-8"?>
<Properties xmlns="http://schemas.openxmlformats.org/officeDocument/2006/extended-properties" xmlns:vt="http://schemas.openxmlformats.org/officeDocument/2006/docPropsVTypes">
  <Template>Normal</Template>
  <Pages>7</Pages>
  <Words>581</Words>
  <Characters>3316</Characters>
  <Lines>27</Lines>
  <Paragraphs>7</Paragraphs>
  <TotalTime>10</TotalTime>
  <ScaleCrop>false</ScaleCrop>
  <LinksUpToDate>false</LinksUpToDate>
  <CharactersWithSpaces>3890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2020-10-27T02:55:00Z</dcterms:created>
  <dc:creator>何斌</dc:creator>
  <cp:lastModifiedBy>Administrator</cp:lastModifiedBy>
  <cp:lastPrinted>2020-10-26T03:31:00Z</cp:lastPrinted>
  <dcterms:modified xsi:type="dcterms:W3CDTF">2021-10-08T03:15:28Z</dcterms:modified>
  <dc:title>中华全国总工会机关服务中心</dc:title>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97DFDD8A065F4B358C903D3FD84D77B7</vt:lpwstr>
  </property>
</Properties>
</file>