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center"/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</w:pPr>
      <w:bookmarkStart w:id="1" w:name="_GoBack"/>
      <w:bookmarkEnd w:id="1"/>
      <w:r>
        <w:rPr>
          <w:rFonts w:hint="eastAsia" w:ascii="Times New Roman" w:hAnsi="Times New Roman" w:eastAsia="仿宋" w:cs="Times New Roman"/>
          <w:sz w:val="32"/>
          <w:szCs w:val="32"/>
        </w:rPr>
        <w:t>安家费和科研启动经费</w:t>
      </w:r>
    </w:p>
    <w:tbl>
      <w:tblPr>
        <w:tblStyle w:val="2"/>
        <w:tblW w:w="4972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088"/>
        <w:gridCol w:w="1503"/>
        <w:gridCol w:w="1208"/>
        <w:gridCol w:w="1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94" w:type="pct"/>
            <w:vMerge w:val="restart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人才类型</w:t>
            </w:r>
          </w:p>
        </w:tc>
        <w:tc>
          <w:tcPr>
            <w:tcW w:w="1866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具体条件</w:t>
            </w:r>
          </w:p>
        </w:tc>
        <w:tc>
          <w:tcPr>
            <w:tcW w:w="908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安家费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科研启动经费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94" w:type="pct"/>
            <w:vMerge w:val="continue"/>
            <w:tcBorders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6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30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人文社科类</w:t>
            </w:r>
          </w:p>
        </w:tc>
        <w:tc>
          <w:tcPr>
            <w:tcW w:w="702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理工类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94" w:type="pct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A类人才</w:t>
            </w:r>
          </w:p>
        </w:tc>
        <w:tc>
          <w:tcPr>
            <w:tcW w:w="1866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在所研究领域内取得国内外同行公认的开创性成果、突出的学术贡献，在国内具有广泛的学术影响力，能够引领学校重点学科和特色学科发展的博士，待遇条件由学校人才工作领导小组专题研究确定。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面议</w:t>
            </w:r>
          </w:p>
        </w:tc>
        <w:tc>
          <w:tcPr>
            <w:tcW w:w="1432" w:type="pct"/>
            <w:gridSpan w:val="2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面议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B类人才</w:t>
            </w:r>
          </w:p>
        </w:tc>
        <w:tc>
          <w:tcPr>
            <w:tcW w:w="1866" w:type="pc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具备下列所有条件者：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学校亟需发展专业方向的博士；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在本学科内已取得具有一定影响力的代表性成果和奖励；</w:t>
            </w:r>
          </w:p>
          <w:p>
            <w:pPr>
              <w:spacing w:line="340" w:lineRule="exac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年龄一般不超过</w:t>
            </w:r>
            <w:r>
              <w:rPr>
                <w:rFonts w:ascii="仿宋" w:hAnsi="仿宋" w:eastAsia="仿宋" w:cs="宋体"/>
                <w:kern w:val="0"/>
                <w:szCs w:val="21"/>
              </w:rPr>
              <w:t>40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周岁，副教授年龄不超</w:t>
            </w:r>
            <w:r>
              <w:rPr>
                <w:rFonts w:ascii="仿宋" w:hAnsi="仿宋" w:eastAsia="仿宋" w:cs="宋体"/>
                <w:kern w:val="0"/>
                <w:szCs w:val="21"/>
              </w:rPr>
              <w:t>45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周岁，教授年龄不超</w:t>
            </w:r>
            <w:r>
              <w:rPr>
                <w:rFonts w:ascii="仿宋" w:hAnsi="仿宋" w:eastAsia="仿宋" w:cs="宋体"/>
                <w:kern w:val="0"/>
                <w:szCs w:val="21"/>
              </w:rPr>
              <w:t>50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周岁</w:t>
            </w:r>
            <w:bookmarkStart w:id="0" w:name="_Hlk82421992"/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  <w:bookmarkEnd w:id="0"/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40-100万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C类人才</w:t>
            </w:r>
          </w:p>
        </w:tc>
        <w:tc>
          <w:tcPr>
            <w:tcW w:w="1866" w:type="pc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具备下列所有条件者：</w:t>
            </w:r>
          </w:p>
          <w:p>
            <w:pPr>
              <w:spacing w:line="340" w:lineRule="exac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1.符合学校学科发展方向的博士；</w:t>
            </w:r>
          </w:p>
          <w:p>
            <w:pPr>
              <w:spacing w:line="340" w:lineRule="exac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2.能够完成教学、科研岗位规定的工作量，在本学科内已取得一定的业绩成果；</w:t>
            </w:r>
          </w:p>
          <w:p>
            <w:pPr>
              <w:spacing w:line="340" w:lineRule="exac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3.年龄一般不超过40周岁，副教授年龄不超过45周岁，教授年龄不超过50周岁。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20-70万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5万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46385"/>
    <w:rsid w:val="7544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2022-03-14T02:51:00Z</dcterms:created>
  <dc:creator>Administrator</dc:creator>
  <cp:lastModifiedBy>Administrator</cp:lastModifiedBy>
  <dcterms:modified xsi:type="dcterms:W3CDTF">2022-03-14T02:53:48Z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F4B332ACEBF54D69B733649E468B64AA</vt:lpwstr>
  </property>
</Properties>
</file>