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4CA1" w14:textId="77777777" w:rsidR="00E17636" w:rsidRDefault="00E17636" w:rsidP="00E17636">
      <w:pPr>
        <w:spacing w:after="701" w:line="265" w:lineRule="auto"/>
        <w:ind w:left="10" w:right="0" w:hanging="10"/>
      </w:pPr>
      <w:r>
        <w:rPr>
          <w:rFonts w:ascii="黑体" w:eastAsia="黑体" w:hAnsi="黑体" w:cs="黑体"/>
        </w:rPr>
        <w:t>附件1</w:t>
      </w:r>
    </w:p>
    <w:p w14:paraId="43596985" w14:textId="77777777" w:rsidR="00E17636" w:rsidRDefault="00E17636" w:rsidP="00E17636">
      <w:pPr>
        <w:pStyle w:val="1"/>
        <w:spacing w:after="583"/>
        <w:ind w:right="161"/>
      </w:pPr>
      <w:r>
        <w:t>作品要求</w:t>
      </w:r>
    </w:p>
    <w:p w14:paraId="5831F386" w14:textId="77777777" w:rsidR="00E17636" w:rsidRDefault="00E17636" w:rsidP="00E17636">
      <w:pPr>
        <w:spacing w:after="0" w:line="336" w:lineRule="auto"/>
        <w:ind w:right="0" w:firstLine="638"/>
      </w:pPr>
      <w:r>
        <w:rPr>
          <w:rFonts w:ascii="黑体" w:eastAsia="黑体" w:hAnsi="黑体" w:cs="黑体"/>
        </w:rPr>
        <w:t>一、作品分科普平面作品、科普短视频、科普剧本等三个类型</w:t>
      </w:r>
    </w:p>
    <w:p w14:paraId="0F5849AD" w14:textId="77777777" w:rsidR="00E17636" w:rsidRDefault="00E17636" w:rsidP="00E17636">
      <w:pPr>
        <w:numPr>
          <w:ilvl w:val="0"/>
          <w:numId w:val="1"/>
        </w:numPr>
        <w:ind w:right="0"/>
      </w:pPr>
      <w:r>
        <w:t>科普平面作品：包括海报、四格漫画、</w:t>
      </w:r>
      <w:proofErr w:type="gramStart"/>
      <w:r>
        <w:t>条漫等</w:t>
      </w:r>
      <w:proofErr w:type="gramEnd"/>
      <w:r>
        <w:t>表现形式。海报作品规格统一为A1尺寸（594mm×841mm），以 A1尺寸的JPG格式提交高清作品，图中文字清晰可见，可分多图提交，每张图片大小控制在5M以内。</w:t>
      </w:r>
    </w:p>
    <w:p w14:paraId="490F3E33" w14:textId="77777777" w:rsidR="00E17636" w:rsidRDefault="00E17636" w:rsidP="00E17636">
      <w:pPr>
        <w:numPr>
          <w:ilvl w:val="0"/>
          <w:numId w:val="1"/>
        </w:numPr>
        <w:ind w:right="0"/>
      </w:pPr>
      <w:r>
        <w:t>科普短视频：包括动画、短视频、微电影、特效视频等。文件格式为MP4、MPG、MPEG、AVI、MOV等常用视频格式，分辨率不小于1280px×720px，时长不超过3分钟，拍摄手法、特效风格、背景音乐不限，内容完整，画面清晰，稳定连贯，横</w:t>
      </w:r>
      <w:proofErr w:type="gramStart"/>
      <w:r>
        <w:t>屏竖屏均</w:t>
      </w:r>
      <w:proofErr w:type="gramEnd"/>
      <w:r>
        <w:t>可。</w:t>
      </w:r>
    </w:p>
    <w:p w14:paraId="2119A4F3" w14:textId="77777777" w:rsidR="00E17636" w:rsidRDefault="00E17636" w:rsidP="00E17636">
      <w:pPr>
        <w:numPr>
          <w:ilvl w:val="0"/>
          <w:numId w:val="1"/>
        </w:numPr>
        <w:ind w:right="0"/>
      </w:pPr>
      <w:r>
        <w:t>科普剧本：剧本表现形式不限，包括科普剧、科普小品、科普故事、课本剧等，要求主题鲜明，弘扬科学精神，揭示科学现象，传播科普知识，激发公众对科学的兴趣。剧本完整，剧情连贯，角色分配、对话设计等合理清晰自然，融科学性与艺术性为一体。剧本必须为原</w:t>
      </w:r>
      <w:r>
        <w:lastRenderedPageBreak/>
        <w:t>创，未参加其它任何省级以上的比赛，可以对经典作品进行合理改编，但需标明所改编著作，杜绝剽窃、抄袭等行为。参赛作品要求具有科学性、创新性、通俗性、艺术性和实用性，融入科学思维与科学方法，特别是创新思维；语言富有感染力，内容科学准确；创新表现手法，注重实用性与</w:t>
      </w:r>
      <w:proofErr w:type="gramStart"/>
      <w:r>
        <w:t>易懂易</w:t>
      </w:r>
      <w:proofErr w:type="gramEnd"/>
      <w:r>
        <w:t>记性，符合相关体裁或艺术表现形式的特点和要求。同一个作品只能报名参加一个专题，同一个专题每位参赛者最多不超过三个参赛作品。</w:t>
      </w:r>
    </w:p>
    <w:p w14:paraId="68D207E3" w14:textId="1A7BF95A" w:rsidR="00E17636" w:rsidRDefault="00E17636" w:rsidP="00E17636">
      <w:pPr>
        <w:ind w:left="628" w:right="0" w:firstLine="0"/>
      </w:pPr>
      <w:r>
        <w:rPr>
          <w:rFonts w:ascii="黑体" w:eastAsia="黑体" w:hAnsi="黑体" w:cs="黑体"/>
        </w:rPr>
        <w:t>二、作品知识产权要求</w:t>
      </w:r>
    </w:p>
    <w:p w14:paraId="5C8575BE" w14:textId="77777777" w:rsidR="00E17636" w:rsidRDefault="00E17636" w:rsidP="00E17636">
      <w:pPr>
        <w:numPr>
          <w:ilvl w:val="0"/>
          <w:numId w:val="2"/>
        </w:numPr>
        <w:ind w:right="0"/>
      </w:pPr>
      <w:r>
        <w:t>参赛者投稿后，即被视为同意大赛主办单位及承办单位拥有参赛获奖作品的使用权、展览权、复制权、翻译权、放映权以及广播权（著作权仍由参赛者拥有），用于非营利性的公益活动，不另付稿酬。</w:t>
      </w:r>
    </w:p>
    <w:p w14:paraId="0702D18B" w14:textId="77777777" w:rsidR="00E17636" w:rsidRDefault="00E17636" w:rsidP="00E17636">
      <w:pPr>
        <w:numPr>
          <w:ilvl w:val="0"/>
          <w:numId w:val="2"/>
        </w:numPr>
        <w:ind w:right="0"/>
      </w:pPr>
      <w:r>
        <w:t>参赛者必须保证参赛作品原创性，且保证参赛作品不出现任何侵犯他人权益的情形，因侵权而产生的一切法律责任及造成的一切损失均由参赛者或其监护人承担。参赛作品的申报材料一律不予退还，参赛者请自行备份。</w:t>
      </w:r>
    </w:p>
    <w:p w14:paraId="122D7AF8" w14:textId="77777777" w:rsidR="00E17636" w:rsidRDefault="00E17636" w:rsidP="00E17636">
      <w:pPr>
        <w:numPr>
          <w:ilvl w:val="0"/>
          <w:numId w:val="2"/>
        </w:numPr>
        <w:ind w:right="0"/>
      </w:pPr>
      <w:r>
        <w:t>获奖作品作者需与承办单位签署版权授权书，因故不签署者，大赛组委会将取消其获奖资格。</w:t>
      </w:r>
    </w:p>
    <w:p w14:paraId="37C02AC2" w14:textId="4A2C245E" w:rsidR="000261A5" w:rsidRPr="00E17636" w:rsidRDefault="00E17636" w:rsidP="00E17636">
      <w:pPr>
        <w:numPr>
          <w:ilvl w:val="0"/>
          <w:numId w:val="2"/>
        </w:numPr>
        <w:spacing w:after="1" w:line="259" w:lineRule="auto"/>
        <w:ind w:right="0"/>
      </w:pPr>
      <w:r>
        <w:t>以上规则的解释、补充、修改权属大赛组委会。</w:t>
      </w:r>
    </w:p>
    <w:sectPr w:rsidR="000261A5" w:rsidRPr="00E17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278"/>
    <w:multiLevelType w:val="hybridMultilevel"/>
    <w:tmpl w:val="E8E4F394"/>
    <w:lvl w:ilvl="0" w:tplc="05E4503E">
      <w:start w:val="1"/>
      <w:numFmt w:val="ideographDigit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BF66514C">
      <w:start w:val="1"/>
      <w:numFmt w:val="lowerLetter"/>
      <w:lvlText w:val="%2"/>
      <w:lvlJc w:val="left"/>
      <w:pPr>
        <w:ind w:left="171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56C41A76">
      <w:start w:val="1"/>
      <w:numFmt w:val="lowerRoman"/>
      <w:lvlText w:val="%3"/>
      <w:lvlJc w:val="left"/>
      <w:pPr>
        <w:ind w:left="243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A2C4DC08">
      <w:start w:val="1"/>
      <w:numFmt w:val="decimal"/>
      <w:lvlText w:val="%4"/>
      <w:lvlJc w:val="left"/>
      <w:pPr>
        <w:ind w:left="315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CCB6DAD2">
      <w:start w:val="1"/>
      <w:numFmt w:val="lowerLetter"/>
      <w:lvlText w:val="%5"/>
      <w:lvlJc w:val="left"/>
      <w:pPr>
        <w:ind w:left="387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39BC5064">
      <w:start w:val="1"/>
      <w:numFmt w:val="lowerRoman"/>
      <w:lvlText w:val="%6"/>
      <w:lvlJc w:val="left"/>
      <w:pPr>
        <w:ind w:left="459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79EA9A60">
      <w:start w:val="1"/>
      <w:numFmt w:val="decimal"/>
      <w:lvlText w:val="%7"/>
      <w:lvlJc w:val="left"/>
      <w:pPr>
        <w:ind w:left="531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DF3EFEF4">
      <w:start w:val="1"/>
      <w:numFmt w:val="lowerLetter"/>
      <w:lvlText w:val="%8"/>
      <w:lvlJc w:val="left"/>
      <w:pPr>
        <w:ind w:left="603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89A27AD8">
      <w:start w:val="1"/>
      <w:numFmt w:val="lowerRoman"/>
      <w:lvlText w:val="%9"/>
      <w:lvlJc w:val="left"/>
      <w:pPr>
        <w:ind w:left="675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77A70503"/>
    <w:multiLevelType w:val="hybridMultilevel"/>
    <w:tmpl w:val="E66C7ED6"/>
    <w:lvl w:ilvl="0" w:tplc="38DCDE12">
      <w:start w:val="1"/>
      <w:numFmt w:val="ideographDigit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F284369A">
      <w:start w:val="1"/>
      <w:numFmt w:val="lowerLetter"/>
      <w:lvlText w:val="%2"/>
      <w:lvlJc w:val="left"/>
      <w:pPr>
        <w:ind w:left="171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0C42BA7A">
      <w:start w:val="1"/>
      <w:numFmt w:val="lowerRoman"/>
      <w:lvlText w:val="%3"/>
      <w:lvlJc w:val="left"/>
      <w:pPr>
        <w:ind w:left="243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508C63F6">
      <w:start w:val="1"/>
      <w:numFmt w:val="decimal"/>
      <w:lvlText w:val="%4"/>
      <w:lvlJc w:val="left"/>
      <w:pPr>
        <w:ind w:left="315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727C7D2C">
      <w:start w:val="1"/>
      <w:numFmt w:val="lowerLetter"/>
      <w:lvlText w:val="%5"/>
      <w:lvlJc w:val="left"/>
      <w:pPr>
        <w:ind w:left="387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9DF42D90">
      <w:start w:val="1"/>
      <w:numFmt w:val="lowerRoman"/>
      <w:lvlText w:val="%6"/>
      <w:lvlJc w:val="left"/>
      <w:pPr>
        <w:ind w:left="459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3C1C90AC">
      <w:start w:val="1"/>
      <w:numFmt w:val="decimal"/>
      <w:lvlText w:val="%7"/>
      <w:lvlJc w:val="left"/>
      <w:pPr>
        <w:ind w:left="531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B8FC2DEA">
      <w:start w:val="1"/>
      <w:numFmt w:val="lowerLetter"/>
      <w:lvlText w:val="%8"/>
      <w:lvlJc w:val="left"/>
      <w:pPr>
        <w:ind w:left="603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E17CE8FE">
      <w:start w:val="1"/>
      <w:numFmt w:val="lowerRoman"/>
      <w:lvlText w:val="%9"/>
      <w:lvlJc w:val="left"/>
      <w:pPr>
        <w:ind w:left="6758"/>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num w:numId="1" w16cid:durableId="1135104390">
    <w:abstractNumId w:val="1"/>
  </w:num>
  <w:num w:numId="2" w16cid:durableId="1197890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36"/>
    <w:rsid w:val="000261A5"/>
    <w:rsid w:val="00E1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6070"/>
  <w15:chartTrackingRefBased/>
  <w15:docId w15:val="{5F6656CD-7725-46E1-9238-2C389DA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636"/>
    <w:pPr>
      <w:spacing w:after="4" w:line="337" w:lineRule="auto"/>
      <w:ind w:right="163" w:firstLine="628"/>
    </w:pPr>
    <w:rPr>
      <w:rFonts w:ascii="仿宋" w:eastAsia="仿宋" w:hAnsi="仿宋" w:cs="仿宋"/>
      <w:color w:val="000000"/>
      <w:sz w:val="32"/>
    </w:rPr>
  </w:style>
  <w:style w:type="paragraph" w:styleId="1">
    <w:name w:val="heading 1"/>
    <w:next w:val="a"/>
    <w:link w:val="10"/>
    <w:uiPriority w:val="9"/>
    <w:qFormat/>
    <w:rsid w:val="00E17636"/>
    <w:pPr>
      <w:keepNext/>
      <w:keepLines/>
      <w:spacing w:after="470" w:line="259" w:lineRule="auto"/>
      <w:ind w:left="10" w:hanging="10"/>
      <w:jc w:val="center"/>
      <w:outlineLvl w:val="0"/>
    </w:pPr>
    <w:rPr>
      <w:rFonts w:ascii="微软雅黑" w:eastAsia="微软雅黑" w:hAnsi="微软雅黑" w:cs="微软雅黑"/>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636"/>
    <w:rPr>
      <w:rFonts w:ascii="微软雅黑" w:eastAsia="微软雅黑" w:hAnsi="微软雅黑" w:cs="微软雅黑"/>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玲 张</dc:creator>
  <cp:keywords/>
  <dc:description/>
  <cp:lastModifiedBy>玲 张</cp:lastModifiedBy>
  <cp:revision>1</cp:revision>
  <dcterms:created xsi:type="dcterms:W3CDTF">2022-12-30T13:48:00Z</dcterms:created>
  <dcterms:modified xsi:type="dcterms:W3CDTF">2022-12-30T13:50:00Z</dcterms:modified>
</cp:coreProperties>
</file>