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1E028">
      <w:pPr>
        <w:spacing w:after="156" w:afterLines="50"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</w:t>
      </w:r>
    </w:p>
    <w:p w14:paraId="3C0540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3" w:firstLineChars="200"/>
        <w:jc w:val="center"/>
        <w:textAlignment w:val="baselin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学院（研究院）</w:t>
      </w:r>
      <w:r>
        <w:rPr>
          <w:rFonts w:hint="eastAsia" w:ascii="黑体" w:hAnsi="黑体" w:eastAsia="黑体"/>
          <w:b/>
          <w:sz w:val="32"/>
          <w:szCs w:val="32"/>
        </w:rPr>
        <w:t>研究生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申请学位取得</w:t>
      </w:r>
      <w:r>
        <w:rPr>
          <w:rFonts w:hint="eastAsia" w:ascii="黑体" w:hAnsi="黑体" w:eastAsia="黑体"/>
          <w:b/>
          <w:sz w:val="32"/>
          <w:szCs w:val="32"/>
        </w:rPr>
        <w:t>学术成果要求</w:t>
      </w:r>
    </w:p>
    <w:p w14:paraId="22DDE7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2" w:firstLineChars="200"/>
        <w:jc w:val="center"/>
        <w:textAlignment w:val="baseline"/>
        <w:rPr>
          <w:rFonts w:hint="eastAsia" w:ascii="创艺简标宋" w:eastAsia="创艺简标宋"/>
          <w:b/>
          <w:sz w:val="24"/>
          <w:szCs w:val="24"/>
        </w:rPr>
      </w:pPr>
    </w:p>
    <w:p w14:paraId="0A340F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jc w:val="both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为促进研究生科研能力与学术水平的提高，保证学位论文的质量，根据《华南师范大学研究生申请学位取得学术成果基本要求（2024年修订）》，经</w:t>
      </w:r>
      <w:r>
        <w:rPr>
          <w:rFonts w:hint="eastAsia" w:ascii="仿宋_GB2312" w:eastAsia="仿宋_GB2312"/>
          <w:sz w:val="28"/>
          <w:szCs w:val="28"/>
        </w:rPr>
        <w:t>XX学院（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研究院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学术分委员会、学位评定分委员会</w:t>
      </w:r>
      <w:r>
        <w:rPr>
          <w:rFonts w:hint="eastAsia" w:ascii="仿宋_GB2312" w:eastAsia="仿宋_GB2312"/>
          <w:sz w:val="28"/>
          <w:szCs w:val="28"/>
        </w:rPr>
        <w:t>讨论通过，现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对</w:t>
      </w:r>
      <w:r>
        <w:rPr>
          <w:rFonts w:hint="eastAsia" w:ascii="仿宋_GB2312" w:eastAsia="仿宋_GB2312"/>
          <w:sz w:val="28"/>
          <w:szCs w:val="28"/>
        </w:rPr>
        <w:t>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研究生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申请学位即学位评定分委员会审议学位申请前应取得的学术成果</w:t>
      </w:r>
      <w:r>
        <w:rPr>
          <w:rFonts w:hint="eastAsia" w:ascii="仿宋_GB2312" w:eastAsia="仿宋_GB2312"/>
          <w:sz w:val="28"/>
          <w:szCs w:val="28"/>
        </w:rPr>
        <w:t>要求说明如下：</w:t>
      </w:r>
    </w:p>
    <w:p w14:paraId="40138F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0"/>
          <w:sz w:val="28"/>
        </w:rPr>
        <w:t>、研究生取得的学术成果应当由研究生攻读、申请学位期间完成，是学位论文评价的重要支撑和参考，学位论文是进行学位评定的主要依据。</w:t>
      </w:r>
    </w:p>
    <w:p w14:paraId="08FE5E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both"/>
        <w:textAlignment w:val="baseline"/>
        <w:rPr>
          <w:rFonts w:hint="default" w:ascii="仿宋_GB2312" w:hAnsi="仿宋_GB2312" w:eastAsia="仿宋_GB2312" w:cs="仿宋_GB2312"/>
          <w:b/>
          <w:bCs/>
          <w:spacing w:val="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sz w:val="28"/>
        </w:rPr>
        <w:t>、研究生可以以学术论文、专利、专著、鉴定、奖项、版权、新产品</w:t>
      </w:r>
      <w:r>
        <w:rPr>
          <w:rFonts w:hint="eastAsia" w:ascii="仿宋_GB2312" w:hAnsi="仿宋_GB2312" w:eastAsia="仿宋_GB2312" w:cs="仿宋_GB2312"/>
          <w:spacing w:val="0"/>
          <w:sz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28"/>
        </w:rPr>
        <w:t>新标准等多种形式呈现学术成果</w:t>
      </w:r>
      <w:r>
        <w:rPr>
          <w:rFonts w:hint="eastAsia" w:ascii="仿宋_GB2312" w:hAnsi="仿宋_GB2312" w:eastAsia="仿宋_GB2312" w:cs="仿宋_GB2312"/>
          <w:spacing w:val="0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pacing w:val="0"/>
          <w:sz w:val="28"/>
          <w:lang w:val="en-US" w:eastAsia="zh-CN"/>
        </w:rPr>
        <w:t>同一个成果仅可用于一位学位申请人的学位申请。</w:t>
      </w:r>
    </w:p>
    <w:p w14:paraId="14AE911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2" w:firstLineChars="200"/>
        <w:jc w:val="both"/>
        <w:textAlignment w:val="baseline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三、学术学位博士（一级学科代码：     一级学科名称：      ）</w:t>
      </w:r>
    </w:p>
    <w:p w14:paraId="1F44AE2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2" w:firstLineChars="200"/>
        <w:jc w:val="both"/>
        <w:textAlignment w:val="baseline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取得以下学术成果之一：</w:t>
      </w:r>
    </w:p>
    <w:p w14:paraId="60161D3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2" w:firstLineChars="200"/>
        <w:jc w:val="both"/>
        <w:textAlignment w:val="baseline"/>
        <w:rPr>
          <w:rFonts w:hint="eastAsia" w:ascii="仿宋_GB2312" w:eastAsia="仿宋_GB2312" w:cs="Arial"/>
          <w:b/>
          <w:snapToGrid w:val="0"/>
          <w:color w:val="A6A6A6" w:themeColor="background1" w:themeShade="A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Arial"/>
          <w:b/>
          <w:snapToGrid w:val="0"/>
          <w:color w:val="A6A6A6" w:themeColor="background1" w:themeShade="A6"/>
          <w:kern w:val="0"/>
          <w:sz w:val="28"/>
          <w:szCs w:val="28"/>
          <w:lang w:val="en-US" w:eastAsia="zh-CN" w:bidi="ar-SA"/>
        </w:rPr>
        <w:t>示例：</w:t>
      </w:r>
    </w:p>
    <w:p w14:paraId="6A3F4E0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2" w:firstLineChars="200"/>
        <w:jc w:val="both"/>
        <w:textAlignment w:val="baseline"/>
        <w:rPr>
          <w:rFonts w:hint="default" w:ascii="仿宋_GB2312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1.学术论文：数量、级别***。</w:t>
      </w:r>
    </w:p>
    <w:p w14:paraId="2C4F4D9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2" w:firstLineChars="200"/>
        <w:jc w:val="both"/>
        <w:textAlignment w:val="baseline"/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val="en-US" w:eastAsia="zh-CN"/>
        </w:rPr>
        <w:t>学术论文署名要求：本人为第一作者，第一作者包括本人署名第一，或者导师署名第一、本人署名第二，并且第一署名单位应为华南师范大学。</w:t>
      </w:r>
    </w:p>
    <w:p w14:paraId="430EFD4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2" w:firstLineChars="200"/>
        <w:jc w:val="both"/>
        <w:textAlignment w:val="baseline"/>
        <w:rPr>
          <w:rFonts w:hint="default" w:ascii="仿宋_GB2312" w:eastAsia="仿宋_GB2312"/>
          <w:b/>
          <w:color w:val="A6A6A6" w:themeColor="background1" w:themeShade="A6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val="en-US" w:eastAsia="zh-CN"/>
        </w:rPr>
        <w:t>认可并列第一署名作者的，须写明具体的认定方式。</w:t>
      </w:r>
      <w:r>
        <w:rPr>
          <w:rFonts w:hint="default" w:ascii="仿宋_GB2312" w:eastAsia="仿宋_GB2312"/>
          <w:b/>
          <w:color w:val="A6A6A6" w:themeColor="background1" w:themeShade="A6"/>
          <w:sz w:val="24"/>
          <w:szCs w:val="24"/>
          <w:lang w:val="zh-CN" w:eastAsia="zh-CN"/>
        </w:rPr>
        <w:t>对于论文作者排序有特殊惯例的，由相关学院依据学科国际惯例、学会认可标准和期刊惯例研究制订论文作者排序认定方案，</w:t>
      </w: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val="en-US" w:eastAsia="zh-CN"/>
        </w:rPr>
        <w:t>并在细则里写明。</w:t>
      </w:r>
    </w:p>
    <w:p w14:paraId="564F77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2" w:firstLineChars="200"/>
        <w:jc w:val="both"/>
        <w:textAlignment w:val="baseline"/>
        <w:rPr>
          <w:rFonts w:hint="default" w:ascii="仿宋_GB2312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2.专利：获授权发明专利**，排名第**，署名单位为**。</w:t>
      </w:r>
    </w:p>
    <w:p w14:paraId="2A6FA2C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2" w:firstLineChars="200"/>
        <w:jc w:val="both"/>
        <w:textAlignment w:val="baseline"/>
        <w:rPr>
          <w:rFonts w:hint="eastAsia" w:ascii="仿宋_GB2312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3.奖项：奖项名称、级别**，排名第**，署名单位为**。</w:t>
      </w:r>
    </w:p>
    <w:p w14:paraId="5EF69B1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2" w:firstLineChars="200"/>
        <w:jc w:val="both"/>
        <w:textAlignment w:val="baseline"/>
        <w:rPr>
          <w:rFonts w:hint="eastAsia" w:ascii="仿宋_GB2312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4.******</w:t>
      </w:r>
    </w:p>
    <w:p w14:paraId="54503B7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2" w:firstLineChars="200"/>
        <w:jc w:val="both"/>
        <w:textAlignment w:val="baseline"/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val="en-US" w:eastAsia="zh-CN"/>
        </w:rPr>
        <w:t>专利（含公开的发明专利）、专著、鉴定、奖项、版权、新产品、新标准等其他学术成果的作者排名和署名单位等要求，由各单位根据具体情况确定，并在细则里写明。</w:t>
      </w:r>
    </w:p>
    <w:p w14:paraId="4D50B2B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82" w:firstLineChars="200"/>
        <w:jc w:val="both"/>
        <w:textAlignment w:val="baseline"/>
        <w:rPr>
          <w:rFonts w:hint="eastAsia" w:ascii="仿宋_GB2312" w:eastAsia="仿宋_GB2312"/>
          <w:b/>
          <w:color w:val="A6A6A6" w:themeColor="background1" w:themeShade="A6"/>
          <w:sz w:val="24"/>
          <w:szCs w:val="24"/>
          <w:lang w:val="en-US" w:eastAsia="zh-CN"/>
        </w:rPr>
      </w:pPr>
      <w:bookmarkStart w:id="0" w:name="_GoBack"/>
      <w:bookmarkEnd w:id="0"/>
    </w:p>
    <w:p w14:paraId="1E0AD18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2" w:firstLineChars="200"/>
        <w:jc w:val="both"/>
        <w:textAlignment w:val="baseline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 w:cs="Arial"/>
          <w:b/>
          <w:snapToGrid w:val="0"/>
          <w:color w:val="000000"/>
          <w:kern w:val="0"/>
          <w:sz w:val="28"/>
          <w:szCs w:val="28"/>
          <w:lang w:val="en-US" w:eastAsia="zh-CN" w:bidi="ar-SA"/>
        </w:rPr>
        <w:t>四</w:t>
      </w:r>
      <w:r>
        <w:rPr>
          <w:rFonts w:hint="eastAsia" w:ascii="仿宋_GB2312" w:hAnsi="Arial" w:eastAsia="仿宋_GB2312" w:cs="Arial"/>
          <w:b/>
          <w:snapToGrid w:val="0"/>
          <w:color w:val="000000"/>
          <w:kern w:val="0"/>
          <w:sz w:val="28"/>
          <w:szCs w:val="28"/>
          <w:lang w:val="en-US" w:eastAsia="en-US" w:bidi="ar-SA"/>
        </w:rPr>
        <w:t>、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专业学位博士（专业学位类别代码：   专业学位类别名称：   ）</w:t>
      </w:r>
    </w:p>
    <w:p w14:paraId="0AE31D9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jc w:val="both"/>
        <w:textAlignment w:val="baseline"/>
        <w:rPr>
          <w:rFonts w:hint="eastAsia" w:ascii="仿宋_GB2312" w:eastAsia="仿宋_GB2312" w:cs="Arial"/>
          <w:b w:val="0"/>
          <w:bCs/>
          <w:snapToGrid w:val="0"/>
          <w:color w:val="000000"/>
          <w:kern w:val="0"/>
          <w:sz w:val="28"/>
          <w:szCs w:val="28"/>
          <w:lang w:val="en-US" w:eastAsia="zh-CN" w:bidi="ar-SA"/>
        </w:rPr>
      </w:pPr>
    </w:p>
    <w:p w14:paraId="20FABFB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2" w:firstLineChars="200"/>
        <w:jc w:val="both"/>
        <w:textAlignment w:val="baseline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 w:cs="Arial"/>
          <w:b/>
          <w:snapToGrid w:val="0"/>
          <w:color w:val="000000"/>
          <w:kern w:val="0"/>
          <w:sz w:val="28"/>
          <w:szCs w:val="28"/>
          <w:lang w:val="en-US" w:eastAsia="zh-CN" w:bidi="ar-SA"/>
        </w:rPr>
        <w:t>五</w:t>
      </w:r>
      <w:r>
        <w:rPr>
          <w:rFonts w:hint="eastAsia" w:ascii="仿宋_GB2312" w:hAnsi="Arial" w:eastAsia="仿宋_GB2312" w:cs="Arial"/>
          <w:b/>
          <w:snapToGrid w:val="0"/>
          <w:color w:val="000000"/>
          <w:kern w:val="0"/>
          <w:sz w:val="28"/>
          <w:szCs w:val="28"/>
          <w:lang w:val="en-US" w:eastAsia="en-US" w:bidi="ar-SA"/>
        </w:rPr>
        <w:t>、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学术学位硕士（一级学科代码：     一级学科名称：      ）</w:t>
      </w:r>
    </w:p>
    <w:p w14:paraId="1061588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2" w:firstLineChars="200"/>
        <w:jc w:val="both"/>
        <w:textAlignment w:val="baseline"/>
        <w:rPr>
          <w:rFonts w:hint="default" w:ascii="仿宋_GB2312" w:eastAsia="仿宋_GB2312"/>
          <w:b/>
          <w:sz w:val="28"/>
          <w:szCs w:val="28"/>
          <w:lang w:val="en-US" w:eastAsia="zh-CN"/>
        </w:rPr>
      </w:pPr>
    </w:p>
    <w:p w14:paraId="0EDC9C6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2" w:firstLineChars="200"/>
        <w:jc w:val="both"/>
        <w:textAlignment w:val="baseline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 w:cs="Arial"/>
          <w:b/>
          <w:snapToGrid w:val="0"/>
          <w:color w:val="000000"/>
          <w:kern w:val="0"/>
          <w:sz w:val="28"/>
          <w:szCs w:val="28"/>
          <w:lang w:val="en-US" w:eastAsia="zh-CN" w:bidi="ar-SA"/>
        </w:rPr>
        <w:t>六</w:t>
      </w:r>
      <w:r>
        <w:rPr>
          <w:rFonts w:hint="eastAsia" w:ascii="仿宋_GB2312" w:hAnsi="Arial" w:eastAsia="仿宋_GB2312" w:cs="Arial"/>
          <w:b/>
          <w:snapToGrid w:val="0"/>
          <w:color w:val="000000"/>
          <w:kern w:val="0"/>
          <w:sz w:val="28"/>
          <w:szCs w:val="28"/>
          <w:lang w:val="en-US" w:eastAsia="en-US" w:bidi="ar-SA"/>
        </w:rPr>
        <w:t>、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专业学位硕士（专业学位类别代码：   专业学位类别名称：   ）</w:t>
      </w:r>
    </w:p>
    <w:p w14:paraId="2B9147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jc w:val="both"/>
        <w:textAlignment w:val="baseline"/>
        <w:rPr>
          <w:rFonts w:hint="eastAsia" w:ascii="仿宋_GB2312" w:eastAsia="仿宋_GB2312"/>
          <w:sz w:val="28"/>
          <w:szCs w:val="28"/>
        </w:rPr>
      </w:pPr>
    </w:p>
    <w:p w14:paraId="68FA1D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pacing w:val="0"/>
          <w:sz w:val="28"/>
        </w:rPr>
        <w:t>若研究生申请答辩时未达到申请学位取得学术成果要求，但达到申请毕业取得学术成果的要求，可以申请论文答辩，</w:t>
      </w:r>
      <w:r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  <w:t>先申请毕业，</w:t>
      </w:r>
      <w:r>
        <w:rPr>
          <w:rFonts w:hint="eastAsia" w:ascii="仿宋_GB2312" w:hAnsi="仿宋_GB2312" w:eastAsia="仿宋_GB2312" w:cs="仿宋_GB2312"/>
          <w:spacing w:val="0"/>
          <w:sz w:val="28"/>
        </w:rPr>
        <w:t>但暂不审议学位。</w:t>
      </w:r>
      <w:r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  <w:t>在未超过最长学习年限的前提下，硕士毕业后一年内、博士毕业后</w:t>
      </w:r>
      <w:r>
        <w:rPr>
          <w:rFonts w:hint="eastAsia" w:ascii="仿宋_GB2312" w:hAnsi="仿宋_GB2312" w:eastAsia="仿宋_GB2312" w:cs="仿宋_GB2312"/>
          <w:spacing w:val="0"/>
          <w:sz w:val="28"/>
        </w:rPr>
        <w:t>两年内</w:t>
      </w:r>
      <w:r>
        <w:rPr>
          <w:rFonts w:hint="eastAsia" w:ascii="仿宋_GB2312" w:hAnsi="仿宋_GB2312" w:eastAsia="仿宋_GB2312" w:cs="仿宋_GB2312"/>
          <w:spacing w:val="0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28"/>
        </w:rPr>
        <w:t>达到</w:t>
      </w:r>
      <w:r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  <w:t>学术</w:t>
      </w:r>
      <w:r>
        <w:rPr>
          <w:rFonts w:hint="eastAsia" w:ascii="仿宋_GB2312" w:hAnsi="仿宋_GB2312" w:eastAsia="仿宋_GB2312" w:cs="仿宋_GB2312"/>
          <w:spacing w:val="0"/>
          <w:sz w:val="28"/>
        </w:rPr>
        <w:t>成果要求者，可向学位评定分委员会提出</w:t>
      </w:r>
      <w:r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  <w:t>学位申请，逾期不予受理。</w:t>
      </w:r>
    </w:p>
    <w:p w14:paraId="19E0A1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  <w:t>八、本规定适用于所有类型的博士、硕士研究生。修订后的规定适用于2024年9月1日后入学（即2024级开始）的研究生，2024年9月1日前入学的研究生可按入学时的规定执行，亦可按修订后的规定执行。未尽事宜由</w:t>
      </w:r>
      <w:r>
        <w:rPr>
          <w:rFonts w:hint="eastAsia" w:ascii="仿宋_GB2312" w:eastAsia="仿宋_GB2312"/>
          <w:sz w:val="28"/>
          <w:szCs w:val="28"/>
        </w:rPr>
        <w:t>XX学院（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研究院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学术分委员会、学位评定分委员会负责解释。</w:t>
      </w:r>
    </w:p>
    <w:p w14:paraId="5AF9D8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jc w:val="both"/>
        <w:textAlignment w:val="baseline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7E3742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jc w:val="both"/>
        <w:textAlignment w:val="baseline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学术分委员会主任签名：</w:t>
      </w:r>
    </w:p>
    <w:p w14:paraId="1D6C0B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jc w:val="both"/>
        <w:textAlignment w:val="baseline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学位评定分委员会主席签名：</w:t>
      </w:r>
    </w:p>
    <w:p w14:paraId="1F5AD0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jc w:val="both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（公章）</w:t>
      </w:r>
    </w:p>
    <w:p w14:paraId="41DE60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年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月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</w:t>
      </w:r>
    </w:p>
    <w:p w14:paraId="14AECF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420" w:firstLineChars="200"/>
        <w:textAlignment w:val="baseline"/>
      </w:pPr>
    </w:p>
    <w:sectPr>
      <w:footerReference r:id="rId5" w:type="default"/>
      <w:pgSz w:w="11907" w:h="16839"/>
      <w:pgMar w:top="1440" w:right="1080" w:bottom="1440" w:left="1080" w:header="0" w:footer="12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94C57">
    <w:pPr>
      <w:spacing w:line="177" w:lineRule="auto"/>
      <w:ind w:left="4111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jU4ZTBmZDIxYTYxOGJjNDFhY2FhNzQ4ZWYxNjEifQ=="/>
  </w:docVars>
  <w:rsids>
    <w:rsidRoot w:val="69E512BF"/>
    <w:rsid w:val="014B27A4"/>
    <w:rsid w:val="080261BB"/>
    <w:rsid w:val="096E1C61"/>
    <w:rsid w:val="1D95050A"/>
    <w:rsid w:val="2265761B"/>
    <w:rsid w:val="23E7405F"/>
    <w:rsid w:val="50FC567D"/>
    <w:rsid w:val="5ECC5D50"/>
    <w:rsid w:val="62BA2CFA"/>
    <w:rsid w:val="69E512BF"/>
    <w:rsid w:val="767B3E8C"/>
    <w:rsid w:val="78F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984</Words>
  <Characters>1023</Characters>
  <Lines>0</Lines>
  <Paragraphs>0</Paragraphs>
  <TotalTime>0</TotalTime>
  <ScaleCrop>false</ScaleCrop>
  <LinksUpToDate>false</LinksUpToDate>
  <CharactersWithSpaces>1107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2024-07-10T03:52:00Z</dcterms:created>
  <dc:creator>咕咕</dc:creator>
  <cp:lastModifiedBy>咕咕</cp:lastModifiedBy>
  <dcterms:modified xsi:type="dcterms:W3CDTF">2024-07-11T08:34:22Z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D05C0A46DA394AA0BFFA24C99D3E97BB_11</vt:lpwstr>
  </property>
</Properties>
</file>