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553F2">
      <w:pPr>
        <w:widowControl/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关于做好2025年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冬</w:t>
      </w:r>
      <w:r>
        <w:rPr>
          <w:rFonts w:hint="eastAsia" w:ascii="黑体" w:hAnsi="黑体" w:eastAsia="黑体"/>
          <w:b/>
          <w:sz w:val="32"/>
          <w:szCs w:val="32"/>
        </w:rPr>
        <w:t>季硕士、博士学位申请工作的通知</w:t>
      </w:r>
    </w:p>
    <w:p w14:paraId="7E506FF7">
      <w:pPr>
        <w:widowControl/>
        <w:spacing w:line="360" w:lineRule="auto"/>
        <w:jc w:val="both"/>
        <w:rPr>
          <w:rFonts w:hint="eastAsia" w:ascii="宋体" w:hAnsi="宋体"/>
          <w:sz w:val="24"/>
        </w:rPr>
      </w:pPr>
    </w:p>
    <w:p w14:paraId="7D7DF1CC">
      <w:pPr>
        <w:widowControl/>
        <w:spacing w:line="360" w:lineRule="auto"/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各培养单位、各专业指导组、各位导师及硕士、博士研究生：</w:t>
      </w:r>
    </w:p>
    <w:p w14:paraId="44682093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为做好我校2025年</w:t>
      </w:r>
      <w:r>
        <w:rPr>
          <w:rFonts w:hint="eastAsia" w:ascii="宋体" w:hAnsi="宋体"/>
          <w:color w:val="000000"/>
          <w:sz w:val="24"/>
          <w:lang w:val="en-US" w:eastAsia="zh-CN"/>
        </w:rPr>
        <w:t>冬</w:t>
      </w:r>
      <w:r>
        <w:rPr>
          <w:rFonts w:hint="eastAsia" w:ascii="宋体" w:hAnsi="宋体"/>
          <w:color w:val="000000"/>
          <w:sz w:val="24"/>
        </w:rPr>
        <w:t>季硕士、博士学位申请工作，现将有关事项通知如下：</w:t>
      </w:r>
    </w:p>
    <w:p w14:paraId="35B96368">
      <w:pPr>
        <w:widowControl/>
        <w:spacing w:line="360" w:lineRule="auto"/>
        <w:ind w:firstLine="480"/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一、导师应指导研究生按照本学科、专业制定的学位论文撰写规范完成学位论文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研究生应按照本单位的时间表和要求提交学位申请材料。</w:t>
      </w:r>
    </w:p>
    <w:p w14:paraId="4BE73E7E">
      <w:pPr>
        <w:spacing w:line="360" w:lineRule="auto"/>
        <w:ind w:firstLine="480"/>
        <w:jc w:val="both"/>
        <w:rPr>
          <w:rFonts w:hint="default" w:ascii="宋体" w:hAnsi="宋体" w:eastAsia="宋体"/>
          <w:sz w:val="24"/>
          <w:u w:val="none"/>
          <w:lang w:val="en-US" w:eastAsia="zh-CN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color w:val="000000"/>
          <w:sz w:val="24"/>
        </w:rPr>
        <w:t>导师、学科专业指导组和</w:t>
      </w:r>
      <w:r>
        <w:rPr>
          <w:rFonts w:hint="eastAsia" w:ascii="宋体" w:hAnsi="宋体"/>
          <w:sz w:val="24"/>
        </w:rPr>
        <w:t>各学位评定分委员会须对申请</w:t>
      </w:r>
      <w:r>
        <w:rPr>
          <w:rFonts w:hint="eastAsia" w:ascii="宋体" w:hAnsi="宋体"/>
          <w:sz w:val="24"/>
          <w:lang w:val="en-US" w:eastAsia="zh-CN"/>
        </w:rPr>
        <w:t>材料</w:t>
      </w:r>
      <w:r>
        <w:rPr>
          <w:rFonts w:hint="eastAsia" w:ascii="宋体" w:hAnsi="宋体"/>
          <w:sz w:val="24"/>
        </w:rPr>
        <w:t>严格审查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包括但不限于学分、年限、导师和指导组意见、以预答辩和重合率检测为主的学位论文审查等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val="en-US" w:eastAsia="zh-CN"/>
        </w:rPr>
        <w:t>审查通过的，受理学位申请，并安排专家评阅</w:t>
      </w:r>
      <w:r>
        <w:rPr>
          <w:rFonts w:hint="eastAsia" w:ascii="宋体" w:hAnsi="宋体"/>
          <w:sz w:val="24"/>
        </w:rPr>
        <w:t>。</w:t>
      </w:r>
      <w:r>
        <w:rPr>
          <w:rFonts w:hint="default" w:ascii="宋体" w:hAnsi="宋体" w:eastAsia="宋体" w:cs="Times New Roman"/>
          <w:sz w:val="24"/>
          <w:szCs w:val="24"/>
          <w:u w:val="thick"/>
          <w:lang w:bidi="ar-SA"/>
        </w:rPr>
        <w:t>若在论文审查过程中发现异常状况，应</w:t>
      </w:r>
      <w:r>
        <w:rPr>
          <w:rFonts w:hint="eastAsia" w:ascii="宋体" w:hAnsi="宋体" w:cs="Times New Roman"/>
          <w:sz w:val="24"/>
          <w:szCs w:val="24"/>
          <w:u w:val="thick"/>
          <w:lang w:val="en-US" w:eastAsia="zh-CN" w:bidi="ar-SA"/>
        </w:rPr>
        <w:t>及时</w:t>
      </w:r>
      <w:r>
        <w:rPr>
          <w:rFonts w:hint="default" w:ascii="宋体" w:hAnsi="宋体" w:eastAsia="宋体" w:cs="Times New Roman"/>
          <w:sz w:val="24"/>
          <w:szCs w:val="24"/>
          <w:u w:val="thick"/>
          <w:lang w:bidi="ar-SA"/>
        </w:rPr>
        <w:t>向本单位学位评定分委员会报告。</w:t>
      </w:r>
    </w:p>
    <w:p w14:paraId="213E0789">
      <w:pPr>
        <w:widowControl/>
        <w:spacing w:line="360" w:lineRule="auto"/>
        <w:ind w:firstLine="480"/>
        <w:jc w:val="both"/>
        <w:rPr>
          <w:rFonts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三、</w:t>
      </w:r>
      <w:r>
        <w:rPr>
          <w:rFonts w:hint="eastAsia" w:ascii="宋体" w:hAnsi="宋体"/>
          <w:color w:val="000000"/>
          <w:sz w:val="24"/>
          <w:lang w:val="en-US" w:eastAsia="zh-CN"/>
        </w:rPr>
        <w:t>专家评阅一般应通过第三方平台进行，均为双盲评阅。</w:t>
      </w:r>
      <w:r>
        <w:rPr>
          <w:rFonts w:hint="eastAsia" w:ascii="宋体" w:hAnsi="宋体"/>
          <w:color w:val="000000"/>
          <w:sz w:val="24"/>
        </w:rPr>
        <w:t>评阅意见须发给导师</w:t>
      </w:r>
      <w:r>
        <w:rPr>
          <w:rFonts w:hint="eastAsia" w:ascii="宋体" w:hAnsi="宋体"/>
          <w:color w:val="000000"/>
          <w:sz w:val="24"/>
          <w:lang w:val="en-US" w:eastAsia="zh-CN"/>
        </w:rPr>
        <w:t>审读并由其送达研究生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color w:val="000000"/>
          <w:sz w:val="24"/>
          <w:lang w:val="en-US" w:eastAsia="zh-CN"/>
        </w:rPr>
        <w:t>符合学校规定的，进入答辩程序。</w:t>
      </w:r>
    </w:p>
    <w:p w14:paraId="2E36434D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学位答辩须严格遵循学校规定组织，答辩信息应提前3日在二级单位网站首页向社会公开，接受监督。学位答辩原则上应以现场会议的形式进行，如有特殊情况，经指导组和学位评定分委员会同意，可采用网络视频方式进行。</w:t>
      </w:r>
    </w:p>
    <w:p w14:paraId="1CD51EC9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>学校将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自2026年起</w:t>
      </w:r>
      <w:r>
        <w:rPr>
          <w:rFonts w:hint="eastAsia" w:ascii="宋体" w:hAnsi="宋体"/>
          <w:color w:val="000000"/>
          <w:sz w:val="24"/>
          <w:u w:val="none"/>
        </w:rPr>
        <w:t>开展优秀博士学位论文评选工作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有意参加优秀论文评选的，需在答辩程序中增加推优环节，详见</w:t>
      </w:r>
      <w:r>
        <w:rPr>
          <w:rFonts w:hint="eastAsia" w:ascii="宋体" w:hAnsi="宋体" w:eastAsia="宋体" w:cs="Times New Roman"/>
          <w:color w:val="000000"/>
          <w:spacing w:val="0"/>
          <w:kern w:val="0"/>
          <w:sz w:val="24"/>
          <w:szCs w:val="24"/>
          <w:u w:val="none"/>
          <w:lang w:val="en-US" w:eastAsia="zh-CN"/>
        </w:rPr>
        <w:t>《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华南师范大学优秀博士学位论文评选办法</w:t>
      </w:r>
      <w:r>
        <w:rPr>
          <w:rFonts w:hint="eastAsia" w:ascii="宋体" w:hAnsi="宋体" w:eastAsia="宋体" w:cs="Times New Roman"/>
          <w:color w:val="000000"/>
          <w:spacing w:val="0"/>
          <w:kern w:val="0"/>
          <w:sz w:val="24"/>
          <w:szCs w:val="24"/>
          <w:u w:val="none"/>
          <w:lang w:val="en-US" w:eastAsia="zh-CN"/>
        </w:rPr>
        <w:t>》</w:t>
      </w:r>
      <w:r>
        <w:rPr>
          <w:rFonts w:hint="eastAsia" w:ascii="宋体" w:hAnsi="宋体" w:cs="Times New Roman"/>
          <w:color w:val="000000"/>
          <w:spacing w:val="0"/>
          <w:kern w:val="0"/>
          <w:sz w:val="24"/>
          <w:szCs w:val="24"/>
          <w:u w:val="none"/>
          <w:lang w:val="en-US" w:eastAsia="zh-CN"/>
        </w:rPr>
        <w:t>。</w:t>
      </w:r>
    </w:p>
    <w:p w14:paraId="058109A6">
      <w:pPr>
        <w:widowControl/>
        <w:spacing w:line="360" w:lineRule="auto"/>
        <w:ind w:firstLine="480"/>
        <w:jc w:val="both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五、</w:t>
      </w:r>
      <w:r>
        <w:rPr>
          <w:rFonts w:ascii="宋体" w:hAnsi="宋体"/>
          <w:sz w:val="24"/>
        </w:rPr>
        <w:t>各学位评定分委员会应</w:t>
      </w:r>
      <w:r>
        <w:rPr>
          <w:rFonts w:hint="eastAsia" w:ascii="宋体" w:hAnsi="宋体"/>
          <w:sz w:val="24"/>
          <w:lang w:val="en-US" w:eastAsia="zh-CN"/>
        </w:rPr>
        <w:t>组建不少于3人的成果认定工作小组，</w:t>
      </w:r>
      <w:r>
        <w:rPr>
          <w:rFonts w:ascii="宋体" w:hAnsi="宋体"/>
          <w:sz w:val="24"/>
        </w:rPr>
        <w:t>对学位申请人</w:t>
      </w:r>
      <w:r>
        <w:rPr>
          <w:rFonts w:hint="eastAsia" w:ascii="宋体" w:hAnsi="宋体"/>
          <w:sz w:val="24"/>
        </w:rPr>
        <w:t>用于申请学位</w:t>
      </w:r>
      <w:r>
        <w:rPr>
          <w:rFonts w:ascii="宋体" w:hAnsi="宋体"/>
          <w:sz w:val="24"/>
        </w:rPr>
        <w:t>的学术成果进行审查，确保</w:t>
      </w:r>
      <w:r>
        <w:rPr>
          <w:rFonts w:hint="eastAsia" w:ascii="宋体" w:hAnsi="宋体"/>
          <w:sz w:val="24"/>
          <w:lang w:val="en-US" w:eastAsia="zh-CN"/>
        </w:rPr>
        <w:t>其</w:t>
      </w:r>
      <w:r>
        <w:rPr>
          <w:rFonts w:ascii="宋体" w:hAnsi="宋体"/>
          <w:sz w:val="24"/>
        </w:rPr>
        <w:t>符合</w:t>
      </w:r>
      <w:r>
        <w:rPr>
          <w:rFonts w:hint="eastAsia" w:ascii="宋体" w:hAnsi="宋体"/>
          <w:sz w:val="24"/>
        </w:rPr>
        <w:t>本学科、专业制定的具体</w:t>
      </w:r>
      <w:r>
        <w:rPr>
          <w:rFonts w:ascii="宋体" w:hAnsi="宋体"/>
          <w:sz w:val="24"/>
        </w:rPr>
        <w:t>要求。</w:t>
      </w:r>
    </w:p>
    <w:p w14:paraId="258D6CCD">
      <w:pPr>
        <w:widowControl/>
        <w:spacing w:line="360" w:lineRule="auto"/>
        <w:ind w:firstLine="480"/>
        <w:jc w:val="both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六、各单位需认真组织学位评定分委员会会议，确保会议有效、规范。各学位评定分委员会应认真行使审议职责，对重点审议论文严格审核，确保学位授予质量。</w:t>
      </w:r>
      <w:r>
        <w:rPr>
          <w:rFonts w:hint="eastAsia" w:ascii="宋体" w:hAnsi="宋体"/>
          <w:sz w:val="24"/>
        </w:rPr>
        <w:t>对于在国家和广东省</w:t>
      </w:r>
      <w:r>
        <w:rPr>
          <w:rFonts w:hint="eastAsia" w:ascii="宋体" w:hAnsi="宋体"/>
          <w:sz w:val="24"/>
          <w:lang w:val="en-US" w:eastAsia="zh-CN"/>
        </w:rPr>
        <w:t>学位</w:t>
      </w:r>
      <w:r>
        <w:rPr>
          <w:rFonts w:hint="eastAsia" w:ascii="宋体" w:hAnsi="宋体"/>
          <w:sz w:val="24"/>
        </w:rPr>
        <w:t>论文抽检中出现质量问题的，学校将依据有关规定进行严肃处理。</w:t>
      </w:r>
    </w:p>
    <w:p w14:paraId="677A2D23">
      <w:pPr>
        <w:spacing w:line="360" w:lineRule="auto"/>
        <w:ind w:firstLine="480"/>
        <w:jc w:val="both"/>
        <w:rPr>
          <w:rFonts w:hint="eastAsia" w:ascii="宋体" w:hAnsi="宋体"/>
          <w:b/>
          <w:bCs/>
          <w:color w:val="000000"/>
          <w:sz w:val="24"/>
          <w:u w:val="thick"/>
        </w:rPr>
      </w:pPr>
      <w:r>
        <w:rPr>
          <w:rFonts w:hint="eastAsia" w:ascii="宋体" w:hAnsi="宋体"/>
          <w:sz w:val="24"/>
          <w:u w:val="thick"/>
        </w:rPr>
        <w:t>七、各单位、学科和导师应</w:t>
      </w:r>
      <w:r>
        <w:rPr>
          <w:rFonts w:hint="eastAsia" w:ascii="宋体" w:hAnsi="宋体"/>
          <w:sz w:val="24"/>
          <w:u w:val="thick"/>
          <w:lang w:val="en-US" w:eastAsia="zh-CN"/>
        </w:rPr>
        <w:t>对研究生</w:t>
      </w:r>
      <w:r>
        <w:rPr>
          <w:rFonts w:hint="eastAsia" w:ascii="宋体" w:hAnsi="宋体"/>
          <w:sz w:val="24"/>
          <w:u w:val="thick"/>
        </w:rPr>
        <w:t>加强学术诚信教育，坚决抵制</w:t>
      </w:r>
      <w:r>
        <w:rPr>
          <w:rFonts w:hint="eastAsia" w:ascii="宋体" w:hAnsi="宋体"/>
          <w:sz w:val="24"/>
          <w:u w:val="thick"/>
          <w:lang w:val="en-US" w:eastAsia="zh-CN"/>
        </w:rPr>
        <w:t>代写、剽窃、伪造等</w:t>
      </w:r>
      <w:r>
        <w:rPr>
          <w:rFonts w:hint="eastAsia" w:ascii="宋体" w:hAnsi="宋体"/>
          <w:sz w:val="24"/>
          <w:u w:val="thick"/>
        </w:rPr>
        <w:t>学术不端行为</w:t>
      </w:r>
      <w:r>
        <w:rPr>
          <w:rFonts w:hint="eastAsia" w:ascii="宋体" w:hAnsi="宋体"/>
          <w:sz w:val="24"/>
          <w:u w:val="thick"/>
          <w:lang w:eastAsia="zh-CN"/>
        </w:rPr>
        <w:t>，</w:t>
      </w:r>
      <w:r>
        <w:rPr>
          <w:rFonts w:hint="eastAsia" w:ascii="宋体" w:hAnsi="宋体"/>
          <w:sz w:val="24"/>
          <w:u w:val="thick"/>
          <w:lang w:val="en-US" w:eastAsia="zh-CN"/>
        </w:rPr>
        <w:t>一经查实，将依法不授予学位或者撤销学位</w:t>
      </w:r>
      <w:r>
        <w:rPr>
          <w:rFonts w:hint="eastAsia" w:ascii="宋体" w:hAnsi="宋体"/>
          <w:sz w:val="24"/>
          <w:u w:val="thick"/>
        </w:rPr>
        <w:t>。</w:t>
      </w:r>
    </w:p>
    <w:p w14:paraId="7923E96E">
      <w:pPr>
        <w:widowControl/>
        <w:spacing w:line="360" w:lineRule="auto"/>
        <w:ind w:firstLine="480"/>
        <w:jc w:val="both"/>
        <w:rPr>
          <w:rFonts w:hint="eastAsia" w:ascii="宋体" w:hAnsi="宋体"/>
          <w:sz w:val="24"/>
          <w:u w:val="thick"/>
        </w:rPr>
      </w:pPr>
      <w:r>
        <w:rPr>
          <w:rFonts w:hint="eastAsia" w:ascii="宋体" w:hAnsi="宋体"/>
          <w:sz w:val="24"/>
        </w:rPr>
        <w:t>八、根据学校保密工作</w:t>
      </w:r>
      <w:r>
        <w:rPr>
          <w:rFonts w:hint="eastAsia" w:ascii="宋体" w:hAnsi="宋体"/>
          <w:sz w:val="24"/>
          <w:lang w:val="en-US" w:eastAsia="zh-CN"/>
        </w:rPr>
        <w:t>有关</w:t>
      </w:r>
      <w:r>
        <w:rPr>
          <w:rFonts w:hint="eastAsia" w:ascii="宋体" w:hAnsi="宋体"/>
          <w:sz w:val="24"/>
        </w:rPr>
        <w:t>要求，凡涉密</w:t>
      </w:r>
      <w:r>
        <w:rPr>
          <w:rFonts w:hint="eastAsia" w:ascii="宋体" w:hAnsi="宋体"/>
          <w:sz w:val="24"/>
          <w:lang w:val="en-US" w:eastAsia="zh-CN"/>
        </w:rPr>
        <w:t>学位</w:t>
      </w:r>
      <w:r>
        <w:rPr>
          <w:rFonts w:hint="eastAsia" w:ascii="宋体" w:hAnsi="宋体"/>
          <w:sz w:val="24"/>
        </w:rPr>
        <w:t>论文</w:t>
      </w:r>
      <w:r>
        <w:rPr>
          <w:rFonts w:hint="eastAsia" w:ascii="宋体" w:hAnsi="宋体"/>
          <w:sz w:val="24"/>
          <w:lang w:val="en-US" w:eastAsia="zh-CN"/>
        </w:rPr>
        <w:t>和内部论文</w:t>
      </w:r>
      <w:r>
        <w:rPr>
          <w:rFonts w:hint="eastAsia" w:ascii="宋体" w:hAnsi="宋体"/>
          <w:sz w:val="24"/>
        </w:rPr>
        <w:t>必须根据学校规定</w:t>
      </w:r>
      <w:r>
        <w:rPr>
          <w:rFonts w:hint="eastAsia" w:ascii="宋体" w:hAnsi="宋体"/>
          <w:sz w:val="24"/>
          <w:lang w:val="en-US" w:eastAsia="zh-CN"/>
        </w:rPr>
        <w:t>事先</w:t>
      </w:r>
      <w:r>
        <w:rPr>
          <w:rFonts w:hint="eastAsia" w:ascii="宋体" w:hAnsi="宋体"/>
          <w:sz w:val="24"/>
        </w:rPr>
        <w:t>申请，</w:t>
      </w:r>
      <w:r>
        <w:rPr>
          <w:rFonts w:hint="eastAsia" w:ascii="宋体" w:hAnsi="宋体"/>
          <w:sz w:val="24"/>
          <w:lang w:val="en-US" w:eastAsia="zh-CN"/>
        </w:rPr>
        <w:t>获</w:t>
      </w:r>
      <w:r>
        <w:rPr>
          <w:rFonts w:hint="eastAsia" w:ascii="宋体" w:hAnsi="宋体"/>
          <w:sz w:val="24"/>
        </w:rPr>
        <w:t>批准后方可开题及撰写，并按有关</w:t>
      </w:r>
      <w:r>
        <w:rPr>
          <w:rFonts w:hint="eastAsia" w:ascii="宋体" w:hAnsi="宋体"/>
          <w:sz w:val="24"/>
          <w:lang w:val="en-US" w:eastAsia="zh-CN"/>
        </w:rPr>
        <w:t>要求安排</w:t>
      </w:r>
      <w:r>
        <w:rPr>
          <w:rFonts w:hint="eastAsia" w:ascii="宋体" w:hAnsi="宋体"/>
          <w:sz w:val="24"/>
        </w:rPr>
        <w:t>送专家评阅及答辩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  <w:u w:val="thick"/>
          <w:lang w:val="en-US" w:eastAsia="zh-CN"/>
        </w:rPr>
        <w:t>在最后提交终版论文时提出的定密或内部论文申请一律不予接收，且将按文件追究相关责任。</w:t>
      </w:r>
      <w:r>
        <w:rPr>
          <w:rFonts w:hint="eastAsia" w:ascii="宋体" w:hAnsi="宋体"/>
          <w:sz w:val="24"/>
          <w:u w:val="thick"/>
        </w:rPr>
        <w:t>内部论文</w:t>
      </w:r>
      <w:r>
        <w:rPr>
          <w:rFonts w:hint="eastAsia" w:ascii="宋体" w:hAnsi="宋体"/>
          <w:sz w:val="24"/>
          <w:u w:val="thick"/>
          <w:lang w:val="en-US" w:eastAsia="zh-CN"/>
        </w:rPr>
        <w:t>须正常参加抽检，涉密论文解密后将100%列入被抽检名单</w:t>
      </w:r>
      <w:r>
        <w:rPr>
          <w:rFonts w:hint="eastAsia" w:ascii="宋体" w:hAnsi="宋体"/>
          <w:sz w:val="24"/>
          <w:u w:val="thick"/>
        </w:rPr>
        <w:t>。</w:t>
      </w:r>
    </w:p>
    <w:p w14:paraId="09AA6FF4">
      <w:pPr>
        <w:widowControl/>
        <w:spacing w:line="360" w:lineRule="auto"/>
        <w:ind w:firstLine="480" w:firstLineChars="200"/>
        <w:jc w:val="both"/>
        <w:rPr>
          <w:rFonts w:hint="default" w:ascii="宋体" w:hAnsi="宋体" w:eastAsia="宋体"/>
          <w:sz w:val="24"/>
          <w:u w:val="none"/>
          <w:lang w:val="en-US" w:eastAsia="zh-CN" w:bidi="ar"/>
        </w:rPr>
      </w:pPr>
      <w:r>
        <w:rPr>
          <w:rFonts w:hint="eastAsia" w:ascii="宋体" w:hAnsi="宋体"/>
          <w:color w:val="000000"/>
          <w:sz w:val="24"/>
        </w:rPr>
        <w:t>九、</w:t>
      </w:r>
      <w:r>
        <w:rPr>
          <w:rFonts w:hint="eastAsia" w:ascii="宋体" w:hAnsi="宋体"/>
          <w:sz w:val="24"/>
        </w:rPr>
        <w:t>为</w:t>
      </w:r>
      <w:r>
        <w:rPr>
          <w:rFonts w:hint="eastAsia" w:ascii="宋体" w:hAnsi="宋体"/>
          <w:sz w:val="24"/>
          <w:lang w:bidi="ar"/>
        </w:rPr>
        <w:t>加强学位授予全过程质量管理</w:t>
      </w:r>
      <w:r>
        <w:rPr>
          <w:rFonts w:hint="eastAsia" w:ascii="宋体" w:hAnsi="宋体"/>
          <w:sz w:val="24"/>
        </w:rPr>
        <w:t>，学校将逐步</w:t>
      </w:r>
      <w:r>
        <w:rPr>
          <w:rFonts w:ascii="宋体" w:hAnsi="宋体"/>
          <w:sz w:val="24"/>
        </w:rPr>
        <w:t>构建</w:t>
      </w:r>
      <w:r>
        <w:rPr>
          <w:rFonts w:hint="eastAsia" w:ascii="宋体" w:hAnsi="宋体"/>
          <w:sz w:val="24"/>
          <w:lang w:bidi="ar"/>
        </w:rPr>
        <w:t>学位论文共享体系，</w:t>
      </w:r>
      <w:r>
        <w:rPr>
          <w:rFonts w:hint="eastAsia" w:ascii="宋体" w:hAnsi="宋体"/>
          <w:sz w:val="24"/>
          <w:lang w:val="en-US" w:eastAsia="zh-CN" w:bidi="ar"/>
        </w:rPr>
        <w:t>已于</w:t>
      </w:r>
      <w:r>
        <w:rPr>
          <w:rFonts w:hint="eastAsia" w:ascii="宋体" w:hAnsi="宋体"/>
          <w:sz w:val="24"/>
        </w:rPr>
        <w:t>2025年6月</w:t>
      </w:r>
      <w:r>
        <w:rPr>
          <w:rFonts w:hint="eastAsia" w:ascii="宋体" w:hAnsi="宋体"/>
          <w:sz w:val="24"/>
          <w:lang w:val="en-US" w:eastAsia="zh-CN"/>
        </w:rPr>
        <w:t>起</w:t>
      </w:r>
      <w:r>
        <w:rPr>
          <w:rFonts w:hint="eastAsia" w:ascii="宋体" w:hAnsi="宋体"/>
          <w:sz w:val="24"/>
        </w:rPr>
        <w:t>公开博士学位论文，</w:t>
      </w:r>
      <w:r>
        <w:rPr>
          <w:rFonts w:hint="eastAsia" w:ascii="宋体" w:hAnsi="宋体"/>
          <w:sz w:val="24"/>
          <w:lang w:val="en-US" w:eastAsia="zh-CN"/>
        </w:rPr>
        <w:t>拟于2027年</w:t>
      </w:r>
      <w:r>
        <w:rPr>
          <w:rFonts w:hint="eastAsia" w:ascii="宋体" w:hAnsi="宋体"/>
          <w:sz w:val="24"/>
        </w:rPr>
        <w:t>公开所有</w:t>
      </w:r>
      <w:r>
        <w:rPr>
          <w:rFonts w:hint="eastAsia" w:ascii="宋体" w:hAnsi="宋体"/>
          <w:sz w:val="24"/>
          <w:lang w:val="en-US" w:eastAsia="zh-CN"/>
        </w:rPr>
        <w:t>硕士、博士学</w:t>
      </w:r>
      <w:r>
        <w:rPr>
          <w:rFonts w:hint="eastAsia" w:ascii="宋体" w:hAnsi="宋体"/>
          <w:sz w:val="24"/>
        </w:rPr>
        <w:t>位论文</w:t>
      </w:r>
      <w:r>
        <w:rPr>
          <w:rFonts w:hint="eastAsia" w:ascii="宋体" w:hAnsi="宋体"/>
          <w:sz w:val="24"/>
          <w:lang w:bidi="ar"/>
        </w:rPr>
        <w:t>。</w:t>
      </w:r>
      <w:r>
        <w:rPr>
          <w:rFonts w:hint="eastAsia" w:ascii="宋体" w:hAnsi="宋体"/>
          <w:sz w:val="24"/>
          <w:u w:val="none"/>
          <w:lang w:val="en-US" w:eastAsia="zh-CN" w:bidi="ar"/>
        </w:rPr>
        <w:t>各单位应按要求收集和提交《华南师范大学学位论文使用授权书》。</w:t>
      </w:r>
    </w:p>
    <w:p w14:paraId="7A28D928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十、各单位</w:t>
      </w:r>
      <w:r>
        <w:rPr>
          <w:rFonts w:hint="eastAsia" w:ascii="宋体" w:hAnsi="宋体"/>
          <w:color w:val="000000"/>
          <w:sz w:val="24"/>
          <w:lang w:val="en-US" w:eastAsia="zh-CN"/>
        </w:rPr>
        <w:t>需根据学校整体时间表（附件1），明确本分委会的学位授予工作日程安排和要求，并及时向师生公布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并于</w:t>
      </w:r>
      <w:r>
        <w:rPr>
          <w:rFonts w:hint="eastAsia" w:ascii="宋体" w:hAnsi="宋体"/>
          <w:color w:val="000000"/>
          <w:sz w:val="24"/>
          <w:u w:val="thick"/>
          <w:lang w:val="en-US" w:eastAsia="zh-CN"/>
        </w:rPr>
        <w:t>2025年11月10日前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按照附件1的要求向研究生院提交学位申请材料</w:t>
      </w:r>
      <w:r>
        <w:rPr>
          <w:rFonts w:hint="eastAsia" w:ascii="宋体" w:hAnsi="宋体"/>
          <w:sz w:val="24"/>
          <w:u w:val="none"/>
          <w:lang w:val="en-US" w:eastAsia="zh-CN"/>
        </w:rPr>
        <w:t>（含《华南师范大学学位论文使用授权书》）</w:t>
      </w:r>
      <w:r>
        <w:rPr>
          <w:rFonts w:hint="eastAsia" w:ascii="宋体" w:hAnsi="宋体"/>
          <w:color w:val="000000"/>
          <w:sz w:val="24"/>
          <w:u w:val="none"/>
        </w:rPr>
        <w:t>。各位导师、研究生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应</w:t>
      </w:r>
      <w:r>
        <w:rPr>
          <w:rFonts w:hint="eastAsia" w:ascii="宋体" w:hAnsi="宋体"/>
          <w:color w:val="000000"/>
          <w:sz w:val="24"/>
          <w:u w:val="none"/>
        </w:rPr>
        <w:t>严格按照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本单</w:t>
      </w:r>
      <w:r>
        <w:rPr>
          <w:rFonts w:hint="eastAsia" w:ascii="宋体" w:hAnsi="宋体"/>
          <w:color w:val="000000"/>
          <w:sz w:val="24"/>
          <w:lang w:val="en-US" w:eastAsia="zh-CN"/>
        </w:rPr>
        <w:t>位的时间表完成</w:t>
      </w:r>
      <w:r>
        <w:rPr>
          <w:rFonts w:hint="eastAsia" w:ascii="宋体" w:hAnsi="宋体"/>
          <w:color w:val="000000"/>
          <w:sz w:val="24"/>
        </w:rPr>
        <w:t>学位申请事宜</w:t>
      </w:r>
      <w:r>
        <w:rPr>
          <w:rFonts w:hint="eastAsia" w:ascii="宋体" w:hAnsi="宋体"/>
          <w:color w:val="000000"/>
          <w:sz w:val="24"/>
          <w:lang w:val="en-US" w:eastAsia="zh-CN"/>
        </w:rPr>
        <w:t>，</w:t>
      </w:r>
      <w:r>
        <w:rPr>
          <w:rFonts w:hint="eastAsia" w:ascii="宋体" w:hAnsi="宋体"/>
          <w:color w:val="000000"/>
          <w:sz w:val="24"/>
        </w:rPr>
        <w:t>凡未在规定时间内提交材料的，视为自动放弃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 w14:paraId="39F6AA56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  <w:u w:val="none"/>
          <w:lang w:eastAsia="zh-CN"/>
        </w:rPr>
      </w:pPr>
      <w:r>
        <w:rPr>
          <w:rFonts w:hint="eastAsia" w:ascii="宋体" w:hAnsi="宋体"/>
          <w:color w:val="000000"/>
          <w:sz w:val="24"/>
          <w:u w:val="thick"/>
          <w:lang w:val="en-US" w:eastAsia="zh-CN"/>
        </w:rPr>
        <w:t>十一、冬季批次学位获得者需于12月30日前提交最终存档的</w:t>
      </w:r>
      <w:r>
        <w:rPr>
          <w:rFonts w:hint="eastAsia" w:ascii="宋体" w:hAnsi="宋体"/>
          <w:color w:val="000000"/>
          <w:sz w:val="24"/>
          <w:u w:val="thick"/>
          <w:lang w:eastAsia="zh-CN"/>
        </w:rPr>
        <w:t>纸质版</w:t>
      </w:r>
      <w:r>
        <w:rPr>
          <w:rFonts w:hint="eastAsia" w:ascii="宋体" w:hAnsi="宋体"/>
          <w:color w:val="000000"/>
          <w:sz w:val="24"/>
          <w:u w:val="thick"/>
          <w:lang w:val="en-US" w:eastAsia="zh-CN"/>
        </w:rPr>
        <w:t>和电子版</w:t>
      </w:r>
      <w:r>
        <w:rPr>
          <w:rFonts w:hint="eastAsia" w:ascii="宋体" w:hAnsi="宋体"/>
          <w:color w:val="000000"/>
          <w:sz w:val="24"/>
          <w:u w:val="thick"/>
          <w:lang w:eastAsia="zh-CN"/>
        </w:rPr>
        <w:t>学位论文，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向各部门提交的版本务必一致，均需签字盖章完备，将用于学位论文抽检和论文公开。此前各环节（预答辩、送审和答辩除外）审议版本的学位论文纸质版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可简装，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除必要外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无需彩打。</w:t>
      </w:r>
    </w:p>
    <w:p w14:paraId="6AC5AFD0">
      <w:pPr>
        <w:widowControl/>
        <w:spacing w:line="360" w:lineRule="auto"/>
        <w:ind w:firstLine="480"/>
        <w:jc w:val="both"/>
        <w:rPr>
          <w:rFonts w:hint="eastAsia" w:ascii="宋体" w:hAnsi="宋体" w:eastAsia="宋体" w:cs="Times New Roman"/>
          <w:b w:val="0"/>
          <w:bCs w:val="0"/>
          <w:color w:val="000000"/>
          <w:sz w:val="24"/>
          <w:szCs w:val="24"/>
          <w:u w:val="thick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研究生院</w:t>
      </w:r>
      <w:r>
        <w:rPr>
          <w:rFonts w:hint="eastAsia" w:ascii="宋体" w:hAnsi="宋体"/>
          <w:color w:val="000000"/>
          <w:sz w:val="24"/>
          <w:lang w:val="en-US" w:eastAsia="zh-CN"/>
        </w:rPr>
        <w:t>和研究生教学督导</w:t>
      </w:r>
      <w:r>
        <w:rPr>
          <w:rFonts w:hint="eastAsia" w:ascii="宋体" w:hAnsi="宋体"/>
          <w:color w:val="000000"/>
          <w:sz w:val="24"/>
        </w:rPr>
        <w:t>将</w:t>
      </w:r>
      <w:r>
        <w:rPr>
          <w:rFonts w:hint="eastAsia" w:ascii="宋体" w:hAnsi="宋体"/>
          <w:color w:val="000000"/>
          <w:sz w:val="24"/>
          <w:lang w:val="en-US" w:eastAsia="zh-CN"/>
        </w:rPr>
        <w:t>随机</w:t>
      </w:r>
      <w:r>
        <w:rPr>
          <w:rFonts w:hint="eastAsia" w:ascii="宋体" w:hAnsi="宋体"/>
          <w:color w:val="000000"/>
          <w:sz w:val="24"/>
        </w:rPr>
        <w:t>对各单位学位审核过程进行</w:t>
      </w:r>
      <w:r>
        <w:rPr>
          <w:rFonts w:hint="eastAsia" w:ascii="宋体" w:hAnsi="宋体"/>
          <w:color w:val="000000"/>
          <w:sz w:val="24"/>
          <w:lang w:val="en-US" w:eastAsia="zh-CN"/>
        </w:rPr>
        <w:t>督导检查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</w:rPr>
        <w:t>未尽事宜由研究生院和</w:t>
      </w:r>
      <w:r>
        <w:rPr>
          <w:rFonts w:hint="eastAsia" w:ascii="宋体" w:hAnsi="宋体"/>
          <w:color w:val="000000"/>
          <w:sz w:val="24"/>
          <w:lang w:val="en-US" w:eastAsia="zh-CN"/>
        </w:rPr>
        <w:t>校</w:t>
      </w:r>
      <w:r>
        <w:rPr>
          <w:rFonts w:hint="eastAsia" w:ascii="宋体" w:hAnsi="宋体"/>
          <w:color w:val="000000"/>
          <w:sz w:val="24"/>
        </w:rPr>
        <w:t>学位评定委员会根据相关规定审议处理。</w:t>
      </w:r>
    </w:p>
    <w:p w14:paraId="5523321C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宋体" w:hAnsi="宋体"/>
          <w:color w:val="000000"/>
          <w:sz w:val="24"/>
        </w:rPr>
      </w:pPr>
    </w:p>
    <w:p w14:paraId="30BC3C60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研究生院</w:t>
      </w:r>
    </w:p>
    <w:p w14:paraId="165B15C7">
      <w:pPr>
        <w:widowControl/>
        <w:spacing w:line="360" w:lineRule="auto"/>
        <w:ind w:firstLine="6302" w:firstLineChars="2626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2025年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1701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438F"/>
    <w:rsid w:val="0304007F"/>
    <w:rsid w:val="071A324D"/>
    <w:rsid w:val="07C136C9"/>
    <w:rsid w:val="08E41D65"/>
    <w:rsid w:val="09572537"/>
    <w:rsid w:val="0A1A490B"/>
    <w:rsid w:val="0BE837BE"/>
    <w:rsid w:val="124243FD"/>
    <w:rsid w:val="154C5B72"/>
    <w:rsid w:val="18BA3964"/>
    <w:rsid w:val="1A1A6F88"/>
    <w:rsid w:val="1B457B62"/>
    <w:rsid w:val="1DFA07F8"/>
    <w:rsid w:val="1FF93EF0"/>
    <w:rsid w:val="21E07150"/>
    <w:rsid w:val="23E21292"/>
    <w:rsid w:val="24E07A55"/>
    <w:rsid w:val="26953C51"/>
    <w:rsid w:val="27951829"/>
    <w:rsid w:val="28534A72"/>
    <w:rsid w:val="286C1540"/>
    <w:rsid w:val="29F924A3"/>
    <w:rsid w:val="2C1022FD"/>
    <w:rsid w:val="2E6B5FB9"/>
    <w:rsid w:val="2F012479"/>
    <w:rsid w:val="2F2F6948"/>
    <w:rsid w:val="340A62A2"/>
    <w:rsid w:val="3E077999"/>
    <w:rsid w:val="407231D7"/>
    <w:rsid w:val="448917EC"/>
    <w:rsid w:val="46135F5C"/>
    <w:rsid w:val="4ECA00CA"/>
    <w:rsid w:val="50C31727"/>
    <w:rsid w:val="525F4669"/>
    <w:rsid w:val="54D9517B"/>
    <w:rsid w:val="55D01815"/>
    <w:rsid w:val="584B45E2"/>
    <w:rsid w:val="5AA011C9"/>
    <w:rsid w:val="5BAA161F"/>
    <w:rsid w:val="5CAF2C65"/>
    <w:rsid w:val="5CDA4089"/>
    <w:rsid w:val="5DB205B8"/>
    <w:rsid w:val="61B05863"/>
    <w:rsid w:val="64733FE3"/>
    <w:rsid w:val="66E2296D"/>
    <w:rsid w:val="67764D68"/>
    <w:rsid w:val="684B5F38"/>
    <w:rsid w:val="698063AC"/>
    <w:rsid w:val="69FA4F5D"/>
    <w:rsid w:val="6A7FAC83"/>
    <w:rsid w:val="6D1F2EA9"/>
    <w:rsid w:val="71DC40A5"/>
    <w:rsid w:val="71DC5B81"/>
    <w:rsid w:val="737A3770"/>
    <w:rsid w:val="73B01C91"/>
    <w:rsid w:val="773A5AF5"/>
    <w:rsid w:val="788055E8"/>
    <w:rsid w:val="7D5F0443"/>
    <w:rsid w:val="7D6B1DC8"/>
    <w:rsid w:val="7E401611"/>
    <w:rsid w:val="7EC54BB8"/>
    <w:rsid w:val="F92FA103"/>
    <w:rsid w:val="FED769C4"/>
    <w:rsid w:val="FEE79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8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1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4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0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endnote reference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</w:rPr>
  </w:style>
  <w:style w:type="character" w:styleId="34">
    <w:name w:val="footnote reference"/>
    <w:unhideWhenUsed/>
    <w:qFormat/>
    <w:uiPriority w:val="99"/>
    <w:rPr>
      <w:vertAlign w:val="superscript"/>
    </w:rPr>
  </w:style>
  <w:style w:type="character" w:customStyle="1" w:styleId="35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7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6">
    <w:name w:val="Title Char"/>
    <w:link w:val="28"/>
    <w:qFormat/>
    <w:uiPriority w:val="10"/>
    <w:rPr>
      <w:sz w:val="48"/>
      <w:szCs w:val="48"/>
    </w:rPr>
  </w:style>
  <w:style w:type="character" w:customStyle="1" w:styleId="47">
    <w:name w:val="Subtitle Char"/>
    <w:link w:val="21"/>
    <w:qFormat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qFormat/>
    <w:uiPriority w:val="30"/>
    <w:rPr>
      <w:i/>
    </w:rPr>
  </w:style>
  <w:style w:type="character" w:customStyle="1" w:styleId="52">
    <w:name w:val="Header Char"/>
    <w:link w:val="18"/>
    <w:qFormat/>
    <w:uiPriority w:val="99"/>
  </w:style>
  <w:style w:type="character" w:customStyle="1" w:styleId="53">
    <w:name w:val="Footer Char"/>
    <w:link w:val="17"/>
    <w:qFormat/>
    <w:uiPriority w:val="99"/>
  </w:style>
  <w:style w:type="character" w:customStyle="1" w:styleId="54">
    <w:name w:val="Caption Char"/>
    <w:link w:val="17"/>
    <w:qFormat/>
    <w:uiPriority w:val="99"/>
  </w:style>
  <w:style w:type="table" w:customStyle="1" w:styleId="55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8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2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3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4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5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6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7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8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9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0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1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2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3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4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5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6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7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8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9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0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1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2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3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4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5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6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7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8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9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0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1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2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3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4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5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6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7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8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9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0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1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2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3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4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5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6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7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8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9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0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1">
    <w:name w:val="List Table 1 Light - Accent 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2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3">
    <w:name w:val="List Table 1 Light - Accent 3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4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5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6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7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8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9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0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1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2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3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4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5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6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7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8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9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0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1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2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3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4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5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6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7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8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9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0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1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2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3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4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5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6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7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8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9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0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1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2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3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4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5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6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7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8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9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0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1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2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3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4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5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6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7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8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9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0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1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2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3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4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5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6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7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8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9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0">
    <w:name w:val="Footnote Text Char"/>
    <w:link w:val="22"/>
    <w:qFormat/>
    <w:uiPriority w:val="99"/>
    <w:rPr>
      <w:sz w:val="18"/>
    </w:rPr>
  </w:style>
  <w:style w:type="character" w:customStyle="1" w:styleId="181">
    <w:name w:val="Endnote Text Char"/>
    <w:link w:val="16"/>
    <w:qFormat/>
    <w:uiPriority w:val="99"/>
    <w:rPr>
      <w:sz w:val="20"/>
    </w:rPr>
  </w:style>
  <w:style w:type="paragraph" w:customStyle="1" w:styleId="182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3">
    <w:name w:val="默认段落字体1"/>
    <w:link w:val="1"/>
    <w:semiHidden/>
    <w:qFormat/>
    <w:uiPriority w:val="0"/>
  </w:style>
  <w:style w:type="table" w:customStyle="1" w:styleId="184">
    <w:name w:val="普通表格1"/>
    <w:semiHidden/>
    <w:qFormat/>
    <w:uiPriority w:val="0"/>
  </w:style>
  <w:style w:type="paragraph" w:customStyle="1" w:styleId="185">
    <w:name w:val="批注文字1"/>
    <w:basedOn w:val="1"/>
    <w:qFormat/>
    <w:uiPriority w:val="0"/>
    <w:pPr>
      <w:jc w:val="left"/>
    </w:pPr>
  </w:style>
  <w:style w:type="paragraph" w:customStyle="1" w:styleId="186">
    <w:name w:val="正文文本1"/>
    <w:basedOn w:val="1"/>
    <w:link w:val="187"/>
    <w:qFormat/>
    <w:uiPriority w:val="0"/>
    <w:pPr>
      <w:spacing w:before="31"/>
      <w:ind w:left="109"/>
      <w:jc w:val="left"/>
    </w:pPr>
    <w:rPr>
      <w:rFonts w:ascii="宋体" w:hAnsi="宋体"/>
      <w:sz w:val="32"/>
      <w:szCs w:val="32"/>
      <w:lang w:eastAsia="en-US"/>
    </w:rPr>
  </w:style>
  <w:style w:type="character" w:customStyle="1" w:styleId="187">
    <w:name w:val="正文文本 字符"/>
    <w:link w:val="186"/>
    <w:qFormat/>
    <w:uiPriority w:val="0"/>
    <w:rPr>
      <w:rFonts w:ascii="宋体" w:hAnsi="宋体"/>
      <w:sz w:val="32"/>
      <w:szCs w:val="32"/>
      <w:lang w:eastAsia="en-US"/>
    </w:rPr>
  </w:style>
  <w:style w:type="paragraph" w:customStyle="1" w:styleId="188">
    <w:name w:val="日期1"/>
    <w:basedOn w:val="1"/>
    <w:next w:val="1"/>
    <w:qFormat/>
    <w:uiPriority w:val="0"/>
    <w:pPr>
      <w:ind w:left="100"/>
    </w:pPr>
  </w:style>
  <w:style w:type="paragraph" w:customStyle="1" w:styleId="189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90">
    <w:name w:val="页脚1"/>
    <w:basedOn w:val="1"/>
    <w:link w:val="19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191">
    <w:name w:val="页脚 字符"/>
    <w:link w:val="190"/>
    <w:qFormat/>
    <w:uiPriority w:val="0"/>
    <w:rPr>
      <w:sz w:val="18"/>
      <w:szCs w:val="18"/>
    </w:rPr>
  </w:style>
  <w:style w:type="paragraph" w:customStyle="1" w:styleId="192">
    <w:name w:val="页眉1"/>
    <w:basedOn w:val="1"/>
    <w:link w:val="19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93">
    <w:name w:val="页眉 字符"/>
    <w:link w:val="192"/>
    <w:qFormat/>
    <w:uiPriority w:val="0"/>
    <w:rPr>
      <w:sz w:val="18"/>
      <w:szCs w:val="18"/>
    </w:rPr>
  </w:style>
  <w:style w:type="table" w:customStyle="1" w:styleId="194">
    <w:name w:val="网格型1"/>
    <w:basedOn w:val="184"/>
    <w:qFormat/>
    <w:uiPriority w:val="0"/>
  </w:style>
  <w:style w:type="character" w:customStyle="1" w:styleId="195">
    <w:name w:val="已访问的超链接1"/>
    <w:link w:val="1"/>
    <w:qFormat/>
    <w:uiPriority w:val="0"/>
    <w:rPr>
      <w:color w:val="954F72"/>
      <w:u w:val="single"/>
    </w:rPr>
  </w:style>
  <w:style w:type="character" w:customStyle="1" w:styleId="196">
    <w:name w:val="超链接1"/>
    <w:link w:val="1"/>
    <w:qFormat/>
    <w:uiPriority w:val="0"/>
    <w:rPr>
      <w:color w:val="0000FF"/>
      <w:u w:val="single"/>
    </w:rPr>
  </w:style>
  <w:style w:type="character" w:customStyle="1" w:styleId="197">
    <w:name w:val="未处理的提及"/>
    <w:link w:val="1"/>
    <w:qFormat/>
    <w:uiPriority w:val="0"/>
    <w:rPr>
      <w:color w:val="605E5C"/>
      <w:shd w:val="clear" w:color="auto" w:fill="E1DFDD"/>
    </w:rPr>
  </w:style>
  <w:style w:type="character" w:customStyle="1" w:styleId="198">
    <w:name w:val="页脚 Char"/>
    <w:link w:val="1"/>
    <w:qFormat/>
    <w:uiPriority w:val="0"/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1330</Words>
  <Characters>1358</Characters>
  <TotalTime>9</TotalTime>
  <ScaleCrop>false</ScaleCrop>
  <LinksUpToDate>false</LinksUpToDate>
  <CharactersWithSpaces>1358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2025-01-22T16:03:00Z</dcterms:created>
  <dc:creator>谢谢谢老师</dc:creator>
  <cp:lastModifiedBy>咕咕</cp:lastModifiedBy>
  <cp:lastPrinted>2025-07-01T07:23:00Z</cp:lastPrinted>
  <dcterms:modified xsi:type="dcterms:W3CDTF">2025-07-04T01:15:02Z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eyJoZGlkIjoiMDVkZjU4ZTBmZDIxYTYxOGJjNDFhY2FhNzQ4ZWYxNjEiLCJ1c2VySWQiOiI0NjQ3MTAxMjYifQ==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A3906820CF2D4639B17F29B7B2D1748E_12</vt:lpwstr>
  </property>
</Properties>
</file>