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0A954C">
      <w:pPr>
        <w:keepNext w:val="0"/>
        <w:keepLines w:val="0"/>
        <w:pageBreakBefore w:val="0"/>
        <w:widowControl w:val="0"/>
        <w:kinsoku/>
        <w:wordWrap/>
        <w:overflowPunct/>
        <w:topLinePunct w:val="0"/>
        <w:autoSpaceDE/>
        <w:autoSpaceDN/>
        <w:bidi w:val="0"/>
        <w:adjustRightInd/>
        <w:snapToGrid/>
        <w:spacing w:line="40" w:lineRule="atLeast"/>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2025年第七届华南师范大学研究生数学建模竞赛C题</w:t>
      </w:r>
    </w:p>
    <w:p w14:paraId="46ED31FD">
      <w:pPr>
        <w:pStyle w:val="2"/>
        <w:keepNext w:val="0"/>
        <w:keepLines w:val="0"/>
        <w:widowControl/>
        <w:suppressLineNumbers w:val="0"/>
        <w:pBdr>
          <w:bottom w:val="none" w:color="auto" w:sz="0" w:space="0"/>
        </w:pBdr>
        <w:shd w:val="clear" w:fill="FFFFFF"/>
        <w:spacing w:before="0" w:beforeAutospacing="0" w:after="144" w:afterAutospacing="0" w:line="432" w:lineRule="atLeast"/>
        <w:ind w:left="0" w:right="0" w:firstLine="0"/>
        <w:jc w:val="center"/>
        <w:rPr>
          <w:rFonts w:hint="default" w:ascii="黑体" w:hAnsi="黑体" w:eastAsia="黑体" w:cs="黑体"/>
          <w:b w:val="0"/>
          <w:bCs w:val="0"/>
          <w:kern w:val="2"/>
          <w:sz w:val="36"/>
          <w:szCs w:val="36"/>
          <w:lang w:val="en-US" w:eastAsia="zh-CN" w:bidi="ar-SA"/>
        </w:rPr>
      </w:pPr>
    </w:p>
    <w:p w14:paraId="33F571F9">
      <w:pPr>
        <w:pStyle w:val="2"/>
        <w:keepNext w:val="0"/>
        <w:keepLines w:val="0"/>
        <w:widowControl/>
        <w:suppressLineNumbers w:val="0"/>
        <w:pBdr>
          <w:bottom w:val="none" w:color="auto" w:sz="0" w:space="0"/>
        </w:pBdr>
        <w:shd w:val="clear" w:fill="FFFFFF"/>
        <w:spacing w:before="0" w:beforeAutospacing="0" w:after="144" w:afterAutospacing="0" w:line="432" w:lineRule="atLeast"/>
        <w:ind w:right="0"/>
        <w:jc w:val="center"/>
        <w:rPr>
          <w:rFonts w:hint="default" w:ascii="黑体" w:hAnsi="黑体" w:eastAsia="黑体" w:cs="黑体"/>
          <w:b w:val="0"/>
          <w:bCs w:val="0"/>
          <w:kern w:val="2"/>
          <w:sz w:val="36"/>
          <w:szCs w:val="36"/>
          <w:lang w:val="en-US" w:eastAsia="zh-CN" w:bidi="ar-SA"/>
        </w:rPr>
      </w:pPr>
      <w:r>
        <w:rPr>
          <w:rFonts w:hint="default" w:ascii="黑体" w:hAnsi="黑体" w:eastAsia="黑体" w:cs="黑体"/>
          <w:b w:val="0"/>
          <w:bCs w:val="0"/>
          <w:kern w:val="2"/>
          <w:sz w:val="36"/>
          <w:szCs w:val="36"/>
          <w:lang w:val="en-US" w:eastAsia="zh-CN" w:bidi="ar-SA"/>
        </w:rPr>
        <w:t>居民健康影响因素的综合评估</w:t>
      </w:r>
    </w:p>
    <w:p w14:paraId="294FA70A">
      <w:pPr>
        <w:rPr>
          <w:rFonts w:hint="default"/>
          <w:lang w:val="en-US" w:eastAsia="zh-CN"/>
        </w:rPr>
      </w:pPr>
    </w:p>
    <w:p w14:paraId="0C87F0D1">
      <w:pPr>
        <w:pStyle w:val="2"/>
        <w:keepNext w:val="0"/>
        <w:keepLines w:val="0"/>
        <w:widowControl/>
        <w:suppressLineNumbers w:val="0"/>
        <w:pBdr>
          <w:bottom w:val="none" w:color="auto" w:sz="0" w:space="0"/>
        </w:pBdr>
        <w:shd w:val="clear" w:fill="FFFFFF"/>
        <w:spacing w:before="0" w:beforeAutospacing="0" w:after="144" w:afterAutospacing="0" w:line="432" w:lineRule="atLeast"/>
        <w:ind w:left="0" w:right="0" w:firstLine="0"/>
        <w:jc w:val="left"/>
        <w:rPr>
          <w:rFonts w:hint="default" w:ascii="黑体" w:hAnsi="黑体" w:eastAsia="黑体" w:cs="黑体"/>
          <w:b w:val="0"/>
          <w:bCs w:val="0"/>
          <w:kern w:val="2"/>
          <w:sz w:val="36"/>
          <w:szCs w:val="36"/>
          <w:lang w:val="en-US" w:eastAsia="zh-CN" w:bidi="ar-SA"/>
        </w:rPr>
      </w:pPr>
      <w:r>
        <w:rPr>
          <w:rFonts w:hint="default" w:ascii="黑体" w:hAnsi="黑体" w:eastAsia="黑体" w:cs="黑体"/>
          <w:b w:val="0"/>
          <w:bCs w:val="0"/>
          <w:kern w:val="2"/>
          <w:sz w:val="36"/>
          <w:szCs w:val="36"/>
          <w:lang w:val="en-US" w:eastAsia="zh-CN" w:bidi="ar-SA"/>
        </w:rPr>
        <w:t>一、题目背景</w:t>
      </w:r>
    </w:p>
    <w:p w14:paraId="6BA71463">
      <w:pPr>
        <w:keepNext w:val="0"/>
        <w:keepLines w:val="0"/>
        <w:pageBreakBefore w:val="0"/>
        <w:widowControl w:val="0"/>
        <w:kinsoku/>
        <w:wordWrap/>
        <w:overflowPunct/>
        <w:topLinePunct w:val="0"/>
        <w:autoSpaceDE/>
        <w:autoSpaceDN/>
        <w:bidi w:val="0"/>
        <w:adjustRightInd/>
        <w:snapToGrid/>
        <w:spacing w:line="40" w:lineRule="atLeast"/>
        <w:ind w:firstLine="560" w:firstLineChars="200"/>
        <w:jc w:val="both"/>
        <w:textAlignment w:val="auto"/>
        <w:rPr>
          <w:rFonts w:hint="default" w:ascii="仿宋" w:hAnsi="仿宋" w:eastAsia="仿宋" w:cs="仿宋"/>
          <w:kern w:val="2"/>
          <w:sz w:val="28"/>
          <w:szCs w:val="28"/>
          <w:lang w:val="en-US" w:eastAsia="zh-CN"/>
        </w:rPr>
      </w:pPr>
      <w:r>
        <w:rPr>
          <w:rFonts w:hint="default" w:ascii="仿宋" w:hAnsi="仿宋" w:eastAsia="仿宋" w:cs="仿宋"/>
          <w:kern w:val="2"/>
          <w:sz w:val="28"/>
          <w:szCs w:val="28"/>
          <w:lang w:val="en-US" w:eastAsia="zh-CN"/>
        </w:rPr>
        <w:t>心脑血管疾病、糖尿病、恶性肿瘤和慢性阻塞性肺病等慢性非传染性疾病正日益成为威胁我国居民健康的主要因素。这些疾病的发病率随着生活方式的演变而逐年上升。普遍认知中，个人的健康状态与其年龄、饮食习惯、体育锻炼频率以及职业等因素紧密相连。因此，如何通过科学膳食规划、适度体育锻炼以及采纳健康生活模式来提升身体健康，已经成为公众普遍关心的议题。</w:t>
      </w:r>
    </w:p>
    <w:p w14:paraId="4E410A12">
      <w:pPr>
        <w:keepNext w:val="0"/>
        <w:keepLines w:val="0"/>
        <w:pageBreakBefore w:val="0"/>
        <w:widowControl w:val="0"/>
        <w:kinsoku/>
        <w:wordWrap/>
        <w:overflowPunct/>
        <w:topLinePunct w:val="0"/>
        <w:autoSpaceDE/>
        <w:autoSpaceDN/>
        <w:bidi w:val="0"/>
        <w:adjustRightInd/>
        <w:snapToGrid/>
        <w:spacing w:line="40" w:lineRule="atLeast"/>
        <w:ind w:firstLine="560" w:firstLineChars="200"/>
        <w:jc w:val="both"/>
        <w:textAlignment w:val="auto"/>
        <w:rPr>
          <w:rFonts w:hint="default" w:ascii="仿宋" w:hAnsi="仿宋" w:eastAsia="仿宋" w:cs="仿宋"/>
          <w:kern w:val="2"/>
          <w:sz w:val="28"/>
          <w:szCs w:val="28"/>
          <w:lang w:val="en-US" w:eastAsia="zh-CN"/>
        </w:rPr>
      </w:pPr>
      <w:r>
        <w:rPr>
          <w:rFonts w:hint="default" w:ascii="仿宋" w:hAnsi="仿宋" w:eastAsia="仿宋" w:cs="仿宋"/>
          <w:kern w:val="2"/>
          <w:sz w:val="28"/>
          <w:szCs w:val="28"/>
          <w:lang w:val="en-US" w:eastAsia="zh-CN"/>
        </w:rPr>
        <w:t>湖北省某市卫生健康研究机构开展了一项关于“慢性非传染性疾病及其相关影响因素”的流行病学调查，收集了居民的问卷反馈，并将调查数据整理成档。同时，参照中国营养学会更新的《中国居民膳食指南》，该指南为公众提供了八项膳食平衡的指导原则。这些资料为我们提供了深入分析和研究慢性病影响因素及预防措施的宝贵信息。</w:t>
      </w:r>
    </w:p>
    <w:p w14:paraId="6FCA3E36">
      <w:pPr>
        <w:keepNext w:val="0"/>
        <w:keepLines w:val="0"/>
        <w:pageBreakBefore w:val="0"/>
        <w:widowControl w:val="0"/>
        <w:kinsoku/>
        <w:wordWrap/>
        <w:overflowPunct/>
        <w:topLinePunct w:val="0"/>
        <w:autoSpaceDE/>
        <w:autoSpaceDN/>
        <w:bidi w:val="0"/>
        <w:adjustRightInd/>
        <w:snapToGrid/>
        <w:spacing w:line="40" w:lineRule="atLeast"/>
        <w:ind w:firstLine="560" w:firstLineChars="200"/>
        <w:jc w:val="both"/>
        <w:textAlignment w:val="auto"/>
        <w:rPr>
          <w:rFonts w:hint="default" w:ascii="仿宋" w:hAnsi="仿宋" w:eastAsia="仿宋" w:cs="仿宋"/>
          <w:kern w:val="2"/>
          <w:sz w:val="28"/>
          <w:szCs w:val="28"/>
          <w:lang w:val="en-US" w:eastAsia="zh-CN"/>
        </w:rPr>
      </w:pPr>
      <w:r>
        <w:rPr>
          <w:rFonts w:hint="default" w:ascii="仿宋" w:hAnsi="仿宋" w:eastAsia="仿宋" w:cs="仿宋"/>
          <w:kern w:val="2"/>
          <w:sz w:val="28"/>
          <w:szCs w:val="28"/>
          <w:lang w:val="en-US" w:eastAsia="zh-CN"/>
        </w:rPr>
        <w:t>在面对慢性非传染性疾病的挑战时，社会需要综合考虑个体的生活方式，并提供针对性的健康教育和干预措施。通过推广均衡膳食、适量运动等健康行为，可以有效预防和控制慢性病的发展，进而提高公众的整体健康水平。</w:t>
      </w:r>
    </w:p>
    <w:p w14:paraId="6EBD4B6B">
      <w:pPr>
        <w:pStyle w:val="3"/>
        <w:keepNext w:val="0"/>
        <w:keepLines w:val="0"/>
        <w:widowControl/>
        <w:suppressLineNumbers w:val="0"/>
        <w:pBdr>
          <w:bottom w:val="none" w:color="auto" w:sz="0" w:space="0"/>
        </w:pBdr>
        <w:shd w:val="clear" w:fill="FFFFFF"/>
        <w:spacing w:before="480" w:beforeAutospacing="0" w:after="144" w:afterAutospacing="0" w:line="384" w:lineRule="atLeast"/>
        <w:ind w:left="0" w:firstLine="0"/>
        <w:rPr>
          <w:rFonts w:hint="default" w:ascii="黑体" w:hAnsi="黑体" w:eastAsia="黑体" w:cs="黑体"/>
          <w:b w:val="0"/>
          <w:bCs w:val="0"/>
          <w:kern w:val="2"/>
          <w:sz w:val="36"/>
          <w:szCs w:val="36"/>
          <w:lang w:val="en-US" w:eastAsia="zh-CN" w:bidi="ar-SA"/>
        </w:rPr>
      </w:pPr>
      <w:r>
        <w:rPr>
          <w:rFonts w:hint="eastAsia" w:ascii="黑体" w:hAnsi="黑体" w:eastAsia="黑体" w:cs="黑体"/>
          <w:b w:val="0"/>
          <w:bCs w:val="0"/>
          <w:kern w:val="2"/>
          <w:sz w:val="36"/>
          <w:szCs w:val="36"/>
          <w:lang w:val="en-US" w:eastAsia="zh-CN" w:bidi="ar-SA"/>
        </w:rPr>
        <w:t>二</w:t>
      </w:r>
      <w:r>
        <w:rPr>
          <w:rFonts w:hint="default" w:ascii="黑体" w:hAnsi="黑体" w:eastAsia="黑体" w:cs="黑体"/>
          <w:b w:val="0"/>
          <w:bCs w:val="0"/>
          <w:kern w:val="2"/>
          <w:sz w:val="36"/>
          <w:szCs w:val="36"/>
          <w:lang w:val="en-US" w:eastAsia="zh-CN" w:bidi="ar-SA"/>
        </w:rPr>
        <w:t>、需解决的问题</w:t>
      </w:r>
    </w:p>
    <w:p w14:paraId="0585CCAD">
      <w:pPr>
        <w:keepNext w:val="0"/>
        <w:keepLines w:val="0"/>
        <w:widowControl/>
        <w:suppressLineNumbers w:val="0"/>
        <w:shd w:val="clear" w:fill="FFFFFF"/>
        <w:spacing w:line="336" w:lineRule="atLeast"/>
        <w:ind w:left="0" w:firstLine="560" w:firstLineChars="200"/>
        <w:jc w:val="left"/>
        <w:rPr>
          <w:rFonts w:hint="default" w:ascii="仿宋" w:hAnsi="仿宋" w:eastAsia="仿宋" w:cs="仿宋"/>
          <w:kern w:val="2"/>
          <w:sz w:val="28"/>
          <w:szCs w:val="28"/>
          <w:lang w:val="en-US" w:eastAsia="zh-CN"/>
        </w:rPr>
      </w:pPr>
      <w:r>
        <w:rPr>
          <w:rFonts w:hint="default" w:ascii="仿宋" w:hAnsi="仿宋" w:eastAsia="仿宋" w:cs="仿宋"/>
          <w:kern w:val="2"/>
          <w:sz w:val="28"/>
          <w:szCs w:val="28"/>
          <w:lang w:val="en-US" w:eastAsia="zh-CN"/>
        </w:rPr>
        <w:t>请根据数据，查阅文献，并解决以下问题：</w:t>
      </w:r>
    </w:p>
    <w:p w14:paraId="34AFA04C">
      <w:pPr>
        <w:keepNext w:val="0"/>
        <w:keepLines w:val="0"/>
        <w:widowControl/>
        <w:suppressLineNumbers w:val="0"/>
        <w:shd w:val="clear" w:fill="FFFFFF"/>
        <w:spacing w:line="336" w:lineRule="atLeast"/>
        <w:ind w:left="0" w:firstLine="560" w:firstLineChars="200"/>
        <w:jc w:val="left"/>
        <w:rPr>
          <w:rFonts w:hint="default" w:ascii="仿宋" w:hAnsi="仿宋" w:eastAsia="仿宋" w:cs="仿宋"/>
          <w:kern w:val="2"/>
          <w:sz w:val="28"/>
          <w:szCs w:val="28"/>
          <w:lang w:val="en-US" w:eastAsia="zh-CN"/>
        </w:rPr>
      </w:pPr>
      <w:r>
        <w:rPr>
          <w:rFonts w:hint="eastAsia" w:ascii="仿宋" w:hAnsi="仿宋" w:eastAsia="仿宋" w:cs="仿宋"/>
          <w:kern w:val="2"/>
          <w:sz w:val="28"/>
          <w:szCs w:val="28"/>
          <w:lang w:val="en-US" w:eastAsia="zh-CN"/>
        </w:rPr>
        <w:t>1、</w:t>
      </w:r>
      <w:r>
        <w:rPr>
          <w:rFonts w:hint="default" w:ascii="仿宋" w:hAnsi="仿宋" w:eastAsia="仿宋" w:cs="仿宋"/>
          <w:kern w:val="2"/>
          <w:sz w:val="28"/>
          <w:szCs w:val="28"/>
          <w:lang w:val="en-US" w:eastAsia="zh-CN"/>
        </w:rPr>
        <w:t>根据附件3、附件4《中国居民膳食指南》的标准，评估附件2所呈现的居民饮食习惯的科学性，并指出其中存在的主要不足。</w:t>
      </w:r>
    </w:p>
    <w:p w14:paraId="3CF56E82">
      <w:pPr>
        <w:keepNext w:val="0"/>
        <w:keepLines w:val="0"/>
        <w:widowControl/>
        <w:suppressLineNumbers w:val="0"/>
        <w:shd w:val="clear" w:fill="FFFFFF"/>
        <w:spacing w:line="336" w:lineRule="atLeast"/>
        <w:ind w:left="0" w:firstLine="560" w:firstLineChars="200"/>
        <w:jc w:val="left"/>
        <w:rPr>
          <w:rFonts w:hint="default" w:ascii="仿宋" w:hAnsi="仿宋" w:eastAsia="仿宋" w:cs="仿宋"/>
          <w:kern w:val="2"/>
          <w:sz w:val="28"/>
          <w:szCs w:val="28"/>
          <w:lang w:val="en-US" w:eastAsia="zh-CN"/>
        </w:rPr>
      </w:pPr>
      <w:r>
        <w:rPr>
          <w:rFonts w:hint="default" w:ascii="仿宋" w:hAnsi="仿宋" w:eastAsia="仿宋" w:cs="仿宋"/>
          <w:kern w:val="2"/>
          <w:sz w:val="28"/>
          <w:szCs w:val="28"/>
          <w:lang w:val="en-US" w:eastAsia="zh-CN"/>
        </w:rPr>
        <w:t>2</w:t>
      </w:r>
      <w:r>
        <w:rPr>
          <w:rFonts w:hint="eastAsia" w:ascii="仿宋" w:hAnsi="仿宋" w:eastAsia="仿宋" w:cs="仿宋"/>
          <w:kern w:val="2"/>
          <w:sz w:val="28"/>
          <w:szCs w:val="28"/>
          <w:lang w:val="en-US" w:eastAsia="zh-CN"/>
        </w:rPr>
        <w:t>、</w:t>
      </w:r>
      <w:r>
        <w:rPr>
          <w:rFonts w:hint="default" w:ascii="仿宋" w:hAnsi="仿宋" w:eastAsia="仿宋" w:cs="仿宋"/>
          <w:kern w:val="2"/>
          <w:sz w:val="28"/>
          <w:szCs w:val="28"/>
          <w:lang w:val="en-US" w:eastAsia="zh-CN"/>
        </w:rPr>
        <w:t>探讨居民的生活习惯及饮食模式是否与其年龄、性别、婚姻状况、教育水平、职业等个人特征存在相关性。</w:t>
      </w:r>
    </w:p>
    <w:p w14:paraId="57057CC7">
      <w:pPr>
        <w:keepNext w:val="0"/>
        <w:keepLines w:val="0"/>
        <w:widowControl/>
        <w:suppressLineNumbers w:val="0"/>
        <w:shd w:val="clear" w:fill="FFFFFF"/>
        <w:spacing w:line="336" w:lineRule="atLeast"/>
        <w:ind w:left="0" w:firstLine="560" w:firstLineChars="200"/>
        <w:jc w:val="left"/>
        <w:rPr>
          <w:rFonts w:hint="default" w:ascii="仿宋" w:hAnsi="仿宋" w:eastAsia="仿宋" w:cs="仿宋"/>
          <w:kern w:val="2"/>
          <w:sz w:val="28"/>
          <w:szCs w:val="28"/>
          <w:lang w:val="en-US" w:eastAsia="zh-CN"/>
        </w:rPr>
      </w:pPr>
      <w:r>
        <w:rPr>
          <w:rFonts w:hint="default" w:ascii="仿宋" w:hAnsi="仿宋" w:eastAsia="仿宋" w:cs="仿宋"/>
          <w:kern w:val="2"/>
          <w:sz w:val="28"/>
          <w:szCs w:val="28"/>
          <w:lang w:val="en-US" w:eastAsia="zh-CN"/>
        </w:rPr>
        <w:t>3</w:t>
      </w:r>
      <w:r>
        <w:rPr>
          <w:rFonts w:hint="eastAsia" w:ascii="仿宋" w:hAnsi="仿宋" w:eastAsia="仿宋" w:cs="仿宋"/>
          <w:kern w:val="2"/>
          <w:sz w:val="28"/>
          <w:szCs w:val="28"/>
          <w:lang w:val="en-US" w:eastAsia="zh-CN"/>
        </w:rPr>
        <w:t>、</w:t>
      </w:r>
      <w:r>
        <w:rPr>
          <w:rFonts w:hint="default" w:ascii="仿宋" w:hAnsi="仿宋" w:eastAsia="仿宋" w:cs="仿宋"/>
          <w:kern w:val="2"/>
          <w:sz w:val="28"/>
          <w:szCs w:val="28"/>
          <w:lang w:val="en-US" w:eastAsia="zh-CN"/>
        </w:rPr>
        <w:t>利用附件2中的数据分析高血压、糖尿病等常见慢性病与个人的吸烟、饮酒、饮食习性、生活作息、职业特点、体育锻炼等因素的影响力度及相互关系。</w:t>
      </w:r>
    </w:p>
    <w:p w14:paraId="7AAEF757">
      <w:pPr>
        <w:keepNext w:val="0"/>
        <w:keepLines w:val="0"/>
        <w:widowControl/>
        <w:suppressLineNumbers w:val="0"/>
        <w:shd w:val="clear" w:fill="FFFFFF"/>
        <w:spacing w:line="336" w:lineRule="atLeast"/>
        <w:ind w:left="0" w:firstLine="560" w:firstLineChars="200"/>
        <w:jc w:val="left"/>
        <w:rPr>
          <w:rFonts w:hint="default" w:ascii="仿宋" w:hAnsi="仿宋" w:eastAsia="仿宋" w:cs="仿宋"/>
          <w:kern w:val="2"/>
          <w:sz w:val="28"/>
          <w:szCs w:val="28"/>
          <w:lang w:val="en-US" w:eastAsia="zh-CN"/>
        </w:rPr>
      </w:pPr>
      <w:r>
        <w:rPr>
          <w:rFonts w:hint="default" w:ascii="仿宋" w:hAnsi="仿宋" w:eastAsia="仿宋" w:cs="仿宋"/>
          <w:kern w:val="2"/>
          <w:sz w:val="28"/>
          <w:szCs w:val="28"/>
          <w:lang w:val="en-US" w:eastAsia="zh-CN"/>
        </w:rPr>
        <w:t>4</w:t>
      </w:r>
      <w:r>
        <w:rPr>
          <w:rFonts w:hint="eastAsia" w:ascii="仿宋" w:hAnsi="仿宋" w:eastAsia="仿宋" w:cs="仿宋"/>
          <w:kern w:val="2"/>
          <w:sz w:val="28"/>
          <w:szCs w:val="28"/>
          <w:lang w:val="en-US" w:eastAsia="zh-CN"/>
        </w:rPr>
        <w:t>、</w:t>
      </w:r>
      <w:r>
        <w:rPr>
          <w:rFonts w:hint="default" w:ascii="仿宋" w:hAnsi="仿宋" w:eastAsia="仿宋" w:cs="仿宋"/>
          <w:kern w:val="2"/>
          <w:sz w:val="28"/>
          <w:szCs w:val="28"/>
          <w:lang w:val="en-US" w:eastAsia="zh-CN"/>
        </w:rPr>
        <w:t>根据附件2提供的居民详细信息，进行人群的合理划分，并针对不同类别的居民群体，提出旨在提升身体健康的膳食调整、体育活动等个性化建议。</w:t>
      </w:r>
    </w:p>
    <w:p w14:paraId="2D67BC03">
      <w:pPr>
        <w:pStyle w:val="3"/>
        <w:keepNext w:val="0"/>
        <w:keepLines w:val="0"/>
        <w:widowControl/>
        <w:suppressLineNumbers w:val="0"/>
        <w:pBdr>
          <w:bottom w:val="none" w:color="auto" w:sz="0" w:space="0"/>
        </w:pBdr>
        <w:shd w:val="clear" w:fill="FFFFFF"/>
        <w:spacing w:before="480" w:beforeAutospacing="0" w:after="144" w:afterAutospacing="0" w:line="384" w:lineRule="atLeast"/>
        <w:ind w:left="0" w:firstLine="0"/>
        <w:rPr>
          <w:rFonts w:hint="default" w:ascii="黑体" w:hAnsi="黑体" w:eastAsia="黑体" w:cs="黑体"/>
          <w:b w:val="0"/>
          <w:bCs w:val="0"/>
          <w:kern w:val="2"/>
          <w:sz w:val="36"/>
          <w:szCs w:val="36"/>
          <w:lang w:val="en-US" w:eastAsia="zh-CN" w:bidi="ar-SA"/>
        </w:rPr>
      </w:pPr>
      <w:r>
        <w:rPr>
          <w:rFonts w:hint="eastAsia" w:ascii="黑体" w:hAnsi="黑体" w:eastAsia="黑体" w:cs="黑体"/>
          <w:b w:val="0"/>
          <w:bCs w:val="0"/>
          <w:kern w:val="2"/>
          <w:sz w:val="36"/>
          <w:szCs w:val="36"/>
          <w:lang w:val="en-US" w:eastAsia="zh-CN" w:bidi="ar-SA"/>
        </w:rPr>
        <w:t>三</w:t>
      </w:r>
      <w:r>
        <w:rPr>
          <w:rFonts w:hint="default" w:ascii="黑体" w:hAnsi="黑体" w:eastAsia="黑体" w:cs="黑体"/>
          <w:b w:val="0"/>
          <w:bCs w:val="0"/>
          <w:kern w:val="2"/>
          <w:sz w:val="36"/>
          <w:szCs w:val="36"/>
          <w:lang w:val="en-US" w:eastAsia="zh-CN" w:bidi="ar-SA"/>
        </w:rPr>
        <w:t>、数据说明</w:t>
      </w:r>
    </w:p>
    <w:p w14:paraId="3FFB52BC">
      <w:pPr>
        <w:keepNext w:val="0"/>
        <w:keepLines w:val="0"/>
        <w:widowControl/>
        <w:suppressLineNumbers w:val="0"/>
        <w:shd w:val="clear" w:fill="FFFFFF"/>
        <w:spacing w:line="336" w:lineRule="atLeast"/>
        <w:ind w:left="0" w:firstLine="560" w:firstLineChars="200"/>
        <w:jc w:val="left"/>
        <w:rPr>
          <w:rFonts w:hint="default" w:ascii="仿宋" w:hAnsi="仿宋" w:eastAsia="仿宋" w:cs="仿宋"/>
          <w:kern w:val="2"/>
          <w:sz w:val="28"/>
          <w:szCs w:val="28"/>
          <w:lang w:val="en-US" w:eastAsia="zh-CN"/>
        </w:rPr>
      </w:pPr>
      <w:r>
        <w:rPr>
          <w:rFonts w:hint="default" w:ascii="仿宋" w:hAnsi="仿宋" w:eastAsia="仿宋" w:cs="仿宋"/>
          <w:kern w:val="2"/>
          <w:sz w:val="28"/>
          <w:szCs w:val="28"/>
          <w:lang w:val="en-US" w:eastAsia="zh-CN"/>
        </w:rPr>
        <w:t>附件1</w:t>
      </w:r>
      <w:r>
        <w:rPr>
          <w:rFonts w:hint="eastAsia" w:ascii="仿宋" w:hAnsi="仿宋" w:eastAsia="仿宋" w:cs="仿宋"/>
          <w:kern w:val="2"/>
          <w:sz w:val="28"/>
          <w:szCs w:val="28"/>
          <w:lang w:val="en-US" w:eastAsia="zh-CN"/>
        </w:rPr>
        <w:t>：</w:t>
      </w:r>
      <w:r>
        <w:rPr>
          <w:rFonts w:hint="default" w:ascii="仿宋" w:hAnsi="仿宋" w:eastAsia="仿宋" w:cs="仿宋"/>
          <w:kern w:val="2"/>
          <w:sz w:val="28"/>
          <w:szCs w:val="28"/>
          <w:lang w:val="en-US" w:eastAsia="zh-CN"/>
        </w:rPr>
        <w:t>慢性病及相关因素流调调查表</w:t>
      </w:r>
    </w:p>
    <w:p w14:paraId="50631F04">
      <w:pPr>
        <w:keepNext w:val="0"/>
        <w:keepLines w:val="0"/>
        <w:widowControl/>
        <w:suppressLineNumbers w:val="0"/>
        <w:shd w:val="clear" w:fill="FFFFFF"/>
        <w:spacing w:line="336" w:lineRule="atLeast"/>
        <w:ind w:left="0" w:firstLine="560" w:firstLineChars="200"/>
        <w:jc w:val="left"/>
        <w:rPr>
          <w:rFonts w:hint="default" w:ascii="仿宋" w:hAnsi="仿宋" w:eastAsia="仿宋" w:cs="仿宋"/>
          <w:kern w:val="2"/>
          <w:sz w:val="28"/>
          <w:szCs w:val="28"/>
          <w:lang w:val="en-US" w:eastAsia="zh-CN"/>
        </w:rPr>
      </w:pPr>
      <w:r>
        <w:rPr>
          <w:rFonts w:hint="default" w:ascii="仿宋" w:hAnsi="仿宋" w:eastAsia="仿宋" w:cs="仿宋"/>
          <w:kern w:val="2"/>
          <w:sz w:val="28"/>
          <w:szCs w:val="28"/>
          <w:lang w:val="en-US" w:eastAsia="zh-CN"/>
        </w:rPr>
        <w:t>附件2</w:t>
      </w:r>
      <w:r>
        <w:rPr>
          <w:rFonts w:hint="eastAsia" w:ascii="仿宋" w:hAnsi="仿宋" w:eastAsia="仿宋" w:cs="仿宋"/>
          <w:kern w:val="2"/>
          <w:sz w:val="28"/>
          <w:szCs w:val="28"/>
          <w:lang w:val="en-US" w:eastAsia="zh-CN"/>
        </w:rPr>
        <w:t>：</w:t>
      </w:r>
      <w:r>
        <w:rPr>
          <w:rFonts w:hint="default" w:ascii="仿宋" w:hAnsi="仿宋" w:eastAsia="仿宋" w:cs="仿宋"/>
          <w:kern w:val="2"/>
          <w:sz w:val="28"/>
          <w:szCs w:val="28"/>
          <w:lang w:val="en-US" w:eastAsia="zh-CN"/>
        </w:rPr>
        <w:t>慢性病及相关因素流调数据</w:t>
      </w:r>
    </w:p>
    <w:p w14:paraId="13A1970F">
      <w:pPr>
        <w:keepNext w:val="0"/>
        <w:keepLines w:val="0"/>
        <w:widowControl/>
        <w:suppressLineNumbers w:val="0"/>
        <w:shd w:val="clear" w:fill="FFFFFF"/>
        <w:spacing w:line="336" w:lineRule="atLeast"/>
        <w:ind w:left="0" w:firstLine="560" w:firstLineChars="200"/>
        <w:jc w:val="left"/>
        <w:rPr>
          <w:rFonts w:hint="default" w:ascii="仿宋" w:hAnsi="仿宋" w:eastAsia="仿宋" w:cs="仿宋"/>
          <w:kern w:val="2"/>
          <w:sz w:val="28"/>
          <w:szCs w:val="28"/>
          <w:lang w:val="en-US" w:eastAsia="zh-CN"/>
        </w:rPr>
      </w:pPr>
      <w:r>
        <w:rPr>
          <w:rFonts w:hint="default" w:ascii="仿宋" w:hAnsi="仿宋" w:eastAsia="仿宋" w:cs="仿宋"/>
          <w:kern w:val="2"/>
          <w:sz w:val="28"/>
          <w:szCs w:val="28"/>
          <w:lang w:val="en-US" w:eastAsia="zh-CN"/>
        </w:rPr>
        <w:t>附件3</w:t>
      </w:r>
      <w:r>
        <w:rPr>
          <w:rFonts w:hint="eastAsia" w:ascii="仿宋" w:hAnsi="仿宋" w:eastAsia="仿宋" w:cs="仿宋"/>
          <w:kern w:val="2"/>
          <w:sz w:val="28"/>
          <w:szCs w:val="28"/>
          <w:lang w:val="en-US" w:eastAsia="zh-CN"/>
        </w:rPr>
        <w:t>：</w:t>
      </w:r>
      <w:r>
        <w:rPr>
          <w:rFonts w:hint="default" w:ascii="仿宋" w:hAnsi="仿宋" w:eastAsia="仿宋" w:cs="仿宋"/>
          <w:kern w:val="2"/>
          <w:sz w:val="28"/>
          <w:szCs w:val="28"/>
          <w:lang w:val="en-US" w:eastAsia="zh-CN"/>
        </w:rPr>
        <w:t>中国居民膳食指南平衡膳食八条准则</w:t>
      </w:r>
    </w:p>
    <w:p w14:paraId="2D187F8D">
      <w:pPr>
        <w:keepNext w:val="0"/>
        <w:keepLines w:val="0"/>
        <w:widowControl/>
        <w:suppressLineNumbers w:val="0"/>
        <w:shd w:val="clear" w:fill="FFFFFF"/>
        <w:spacing w:line="336" w:lineRule="atLeast"/>
        <w:ind w:left="0" w:firstLine="560" w:firstLineChars="200"/>
        <w:jc w:val="left"/>
        <w:rPr>
          <w:rFonts w:hint="default" w:ascii="仿宋" w:hAnsi="仿宋" w:eastAsia="仿宋" w:cs="仿宋"/>
          <w:kern w:val="2"/>
          <w:sz w:val="28"/>
          <w:szCs w:val="28"/>
          <w:lang w:val="en-US" w:eastAsia="zh-CN"/>
        </w:rPr>
      </w:pPr>
      <w:r>
        <w:rPr>
          <w:rFonts w:hint="default" w:ascii="仿宋" w:hAnsi="仿宋" w:eastAsia="仿宋" w:cs="仿宋"/>
          <w:kern w:val="2"/>
          <w:sz w:val="28"/>
          <w:szCs w:val="28"/>
          <w:lang w:val="en-US" w:eastAsia="zh-CN"/>
        </w:rPr>
        <w:t>附件4</w:t>
      </w:r>
      <w:r>
        <w:rPr>
          <w:rFonts w:hint="eastAsia" w:ascii="仿宋" w:hAnsi="仿宋" w:eastAsia="仿宋" w:cs="仿宋"/>
          <w:kern w:val="2"/>
          <w:sz w:val="28"/>
          <w:szCs w:val="28"/>
          <w:lang w:val="en-US" w:eastAsia="zh-CN"/>
        </w:rPr>
        <w:t>：</w:t>
      </w:r>
      <w:r>
        <w:rPr>
          <w:rFonts w:hint="default" w:ascii="仿宋" w:hAnsi="仿宋" w:eastAsia="仿宋" w:cs="仿宋"/>
          <w:kern w:val="2"/>
          <w:sz w:val="28"/>
          <w:szCs w:val="28"/>
          <w:lang w:val="en-US" w:eastAsia="zh-CN"/>
        </w:rPr>
        <w:t>中国居民膳食指南（2022）</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2A342B"/>
    <w:rsid w:val="19D10013"/>
    <w:rsid w:val="392D1CC3"/>
    <w:rsid w:val="43333E6F"/>
    <w:rsid w:val="6E6702D9"/>
    <w:rsid w:val="79F0772D"/>
    <w:rsid w:val="7AEE0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714</Words>
  <Characters>734</Characters>
  <Lines>0</Lines>
  <Paragraphs>0</Paragraphs>
  <TotalTime>7</TotalTime>
  <ScaleCrop>false</ScaleCrop>
  <LinksUpToDate>false</LinksUpToDate>
  <CharactersWithSpaces>750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2025-06-29T08:55:00Z</dcterms:created>
  <dc:creator>zeng</dc:creator>
  <cp:lastModifiedBy>邓键</cp:lastModifiedBy>
  <dcterms:modified xsi:type="dcterms:W3CDTF">2025-07-12T10:13:34Z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eyJoZGlkIjoiN2NiYWRkM2MxY2Y2N2Y0NTUzYmUxZmZhMzM0Y2I0ZWIiLCJ1c2VySWQiOiI1MzM2MjEwMzAifQ==</vt:lpwstr>
  </property>
  <property fmtid="{D5CDD505-2E9C-101B-9397-08002B2CF9AE}" pid="4" name="ICV">
    <vt:lpwstr>B3EE8C10B5B24041ABAF428AF6C2A224_13</vt:lpwstr>
  </property>
</Properties>
</file>