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textAlignment w:val="auto"/>
        <w:rPr>
          <w:rFonts w:ascii="宋体" w:hAnsi="宋体" w:cs="宋体"/>
          <w:b/>
          <w:color w:val="0000FF"/>
          <w:kern w:val="0"/>
          <w:sz w:val="22"/>
        </w:rPr>
      </w:pPr>
      <w:r>
        <w:rPr>
          <w:rFonts w:hint="eastAsia" w:ascii="宋体" w:hAnsi="宋体" w:cs="宋体"/>
          <w:b/>
          <w:color w:val="0000FF"/>
          <w:kern w:val="0"/>
          <w:sz w:val="22"/>
        </w:rPr>
        <w:t>华南师范大学</w:t>
      </w:r>
      <w:r>
        <w:rPr>
          <w:rFonts w:hint="eastAsia" w:ascii="宋体" w:hAnsi="宋体" w:cs="宋体"/>
          <w:b/>
          <w:color w:val="0000FF"/>
          <w:kern w:val="0"/>
          <w:sz w:val="22"/>
          <w:lang w:eastAsia="zh-CN"/>
        </w:rPr>
        <w:t>数学科学学院</w:t>
      </w:r>
      <w:r>
        <w:rPr>
          <w:rFonts w:hint="eastAsia" w:ascii="宋体" w:hAnsi="宋体" w:cs="宋体"/>
          <w:b/>
          <w:color w:val="0000FF"/>
          <w:kern w:val="0"/>
          <w:sz w:val="22"/>
        </w:rPr>
        <w:t>20</w:t>
      </w:r>
      <w:r>
        <w:rPr>
          <w:rFonts w:hint="eastAsia" w:ascii="宋体" w:hAnsi="宋体" w:cs="宋体"/>
          <w:b/>
          <w:color w:val="0000FF"/>
          <w:kern w:val="0"/>
          <w:sz w:val="22"/>
          <w:lang w:val="en-US" w:eastAsia="zh-CN"/>
        </w:rPr>
        <w:t>20</w:t>
      </w:r>
      <w:r>
        <w:rPr>
          <w:rFonts w:hint="eastAsia" w:ascii="宋体" w:hAnsi="宋体" w:cs="宋体"/>
          <w:b/>
          <w:color w:val="0000FF"/>
          <w:kern w:val="0"/>
          <w:sz w:val="22"/>
        </w:rPr>
        <w:t>年接收推荐免试攻读硕士学位研究生章程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40" w:firstLineChars="200"/>
        <w:jc w:val="left"/>
        <w:textAlignment w:val="auto"/>
        <w:rPr>
          <w:rFonts w:ascii="Calibri" w:hAnsi="Calibri"/>
          <w:sz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为了进一步做好我校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 w:ascii="Calibri" w:hAnsi="Calibri"/>
          <w:sz w:val="24"/>
          <w:szCs w:val="24"/>
        </w:rPr>
        <w:t>年推荐免试攻读硕士学位研究生的接收工作，根据教育部《关于做好20</w:t>
      </w:r>
      <w:r>
        <w:rPr>
          <w:rFonts w:hint="eastAsia" w:ascii="Calibri" w:hAnsi="Calibri"/>
          <w:sz w:val="24"/>
          <w:szCs w:val="24"/>
          <w:lang w:val="en-US" w:eastAsia="zh-CN"/>
        </w:rPr>
        <w:t>20</w:t>
      </w:r>
      <w:r>
        <w:rPr>
          <w:rFonts w:hint="eastAsia" w:ascii="Calibri" w:hAnsi="Calibri"/>
          <w:sz w:val="24"/>
          <w:szCs w:val="24"/>
        </w:rPr>
        <w:t>年推荐优秀应届本科毕业生免试攻读研究生工作的通知》教学</w:t>
      </w:r>
      <w:r>
        <w:rPr>
          <w:rFonts w:hint="eastAsia" w:ascii="Calibri" w:hAnsi="Calibri"/>
          <w:sz w:val="24"/>
          <w:szCs w:val="24"/>
          <w:lang w:eastAsia="zh-CN"/>
        </w:rPr>
        <w:t>司函</w:t>
      </w:r>
      <w:r>
        <w:rPr>
          <w:rFonts w:hint="eastAsia" w:ascii="Calibri" w:hAnsi="Calibri"/>
          <w:sz w:val="24"/>
          <w:szCs w:val="24"/>
        </w:rPr>
        <w:t>〔201</w:t>
      </w:r>
      <w:r>
        <w:rPr>
          <w:rFonts w:hint="eastAsia" w:ascii="Calibri" w:hAnsi="Calibri"/>
          <w:sz w:val="24"/>
          <w:szCs w:val="24"/>
          <w:lang w:val="en-US" w:eastAsia="zh-CN"/>
        </w:rPr>
        <w:t>9</w:t>
      </w:r>
      <w:r>
        <w:rPr>
          <w:rFonts w:hint="eastAsia" w:ascii="Calibri" w:hAnsi="Calibri"/>
          <w:sz w:val="24"/>
          <w:szCs w:val="24"/>
        </w:rPr>
        <w:t>〕10</w:t>
      </w:r>
      <w:r>
        <w:rPr>
          <w:rFonts w:hint="eastAsia" w:ascii="Calibri" w:hAnsi="Calibri"/>
          <w:sz w:val="24"/>
          <w:szCs w:val="24"/>
          <w:lang w:val="en-US" w:eastAsia="zh-CN"/>
        </w:rPr>
        <w:t>5</w:t>
      </w:r>
      <w:r>
        <w:rPr>
          <w:rFonts w:hint="eastAsia" w:ascii="Calibri" w:hAnsi="Calibri"/>
          <w:sz w:val="24"/>
          <w:szCs w:val="24"/>
        </w:rPr>
        <w:t>号文件精神，结合我</w:t>
      </w:r>
      <w:r>
        <w:rPr>
          <w:rFonts w:hint="eastAsia" w:ascii="Calibri" w:hAnsi="Calibri"/>
          <w:sz w:val="24"/>
          <w:szCs w:val="24"/>
          <w:lang w:eastAsia="zh-CN"/>
        </w:rPr>
        <w:t>院</w:t>
      </w:r>
      <w:r>
        <w:rPr>
          <w:rFonts w:hint="eastAsia" w:ascii="Calibri" w:hAnsi="Calibri"/>
          <w:sz w:val="24"/>
          <w:szCs w:val="24"/>
        </w:rPr>
        <w:t>实际情况，特制定本章程。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2" w:firstLineChars="200"/>
        <w:jc w:val="left"/>
        <w:textAlignment w:val="auto"/>
        <w:rPr>
          <w:rFonts w:ascii="宋体" w:hAnsi="宋体" w:cs="宋体"/>
          <w:b/>
          <w:color w:val="0000FF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FF"/>
          <w:kern w:val="0"/>
          <w:sz w:val="24"/>
          <w:szCs w:val="24"/>
        </w:rPr>
        <w:t>一、申请条件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1.</w:t>
      </w:r>
      <w:r>
        <w:rPr>
          <w:rFonts w:hint="eastAsia" w:ascii="宋体" w:hAnsi="宋体" w:cs="宋体"/>
          <w:kern w:val="0"/>
          <w:sz w:val="24"/>
          <w:szCs w:val="24"/>
        </w:rPr>
        <w:t>申请学生必须拥护中国共产党的领导，品德良好，遵纪守法，身心健康。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ascii="宋体" w:hAnsi="宋体"/>
          <w:color w:val="111111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2.</w:t>
      </w:r>
      <w:r>
        <w:rPr>
          <w:rFonts w:ascii="宋体" w:hAnsi="宋体"/>
          <w:color w:val="111111"/>
          <w:sz w:val="24"/>
          <w:szCs w:val="24"/>
        </w:rPr>
        <w:t>申请</w:t>
      </w:r>
      <w:r>
        <w:rPr>
          <w:rFonts w:hint="eastAsia" w:ascii="宋体" w:hAnsi="宋体"/>
          <w:color w:val="111111"/>
          <w:sz w:val="24"/>
          <w:szCs w:val="24"/>
        </w:rPr>
        <w:t>学生</w:t>
      </w:r>
      <w:r>
        <w:rPr>
          <w:rFonts w:ascii="宋体" w:hAnsi="宋体"/>
          <w:color w:val="111111"/>
          <w:sz w:val="24"/>
          <w:szCs w:val="24"/>
        </w:rPr>
        <w:t>必须是具有推荐免试授权高校的应届本科毕业生</w:t>
      </w:r>
      <w:r>
        <w:rPr>
          <w:rFonts w:hint="eastAsia" w:ascii="宋体" w:hAnsi="宋体"/>
          <w:color w:val="111111"/>
          <w:sz w:val="24"/>
          <w:szCs w:val="24"/>
        </w:rPr>
        <w:t>，</w:t>
      </w:r>
      <w:r>
        <w:rPr>
          <w:rFonts w:ascii="宋体" w:hAnsi="宋体"/>
          <w:color w:val="111111"/>
          <w:sz w:val="24"/>
          <w:szCs w:val="24"/>
        </w:rPr>
        <w:t>并获得所在院校推荐免试资格</w:t>
      </w:r>
      <w:r>
        <w:rPr>
          <w:rFonts w:hint="eastAsia" w:ascii="宋体" w:hAnsi="宋体"/>
          <w:color w:val="111111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440" w:lineRule="exact"/>
        <w:ind w:firstLine="482" w:firstLineChars="200"/>
        <w:jc w:val="left"/>
        <w:textAlignment w:val="auto"/>
        <w:rPr>
          <w:rFonts w:ascii="宋体" w:hAnsi="宋体" w:cs="宋体"/>
          <w:b/>
          <w:color w:val="0000FF"/>
          <w:kern w:val="0"/>
          <w:sz w:val="24"/>
          <w:szCs w:val="24"/>
        </w:rPr>
      </w:pPr>
      <w:r>
        <w:rPr>
          <w:rFonts w:ascii="宋体" w:hAnsi="宋体" w:cs="宋体"/>
          <w:b/>
          <w:color w:val="0000FF"/>
          <w:kern w:val="0"/>
          <w:sz w:val="24"/>
          <w:szCs w:val="24"/>
        </w:rPr>
        <w:t>二、接收专业</w:t>
      </w:r>
      <w:r>
        <w:rPr>
          <w:rFonts w:hint="eastAsia" w:ascii="宋体" w:hAnsi="宋体" w:cs="宋体"/>
          <w:b/>
          <w:color w:val="0000FF"/>
          <w:kern w:val="0"/>
          <w:sz w:val="24"/>
          <w:szCs w:val="24"/>
        </w:rPr>
        <w:t>、</w:t>
      </w:r>
      <w:r>
        <w:rPr>
          <w:rFonts w:ascii="宋体" w:hAnsi="宋体" w:cs="宋体"/>
          <w:b/>
          <w:color w:val="0000FF"/>
          <w:kern w:val="0"/>
          <w:sz w:val="24"/>
          <w:szCs w:val="24"/>
        </w:rPr>
        <w:t>人数</w:t>
      </w:r>
      <w:r>
        <w:rPr>
          <w:rFonts w:hint="eastAsia" w:ascii="宋体" w:hAnsi="宋体" w:cs="宋体"/>
          <w:b/>
          <w:color w:val="0000FF"/>
          <w:kern w:val="0"/>
          <w:sz w:val="24"/>
          <w:szCs w:val="24"/>
        </w:rPr>
        <w:t>及学制</w:t>
      </w:r>
    </w:p>
    <w:tbl>
      <w:tblPr>
        <w:tblStyle w:val="7"/>
        <w:tblW w:w="740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329"/>
        <w:gridCol w:w="7"/>
        <w:gridCol w:w="2838"/>
        <w:gridCol w:w="1079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tblCellSpacing w:w="0" w:type="dxa"/>
          <w:jc w:val="center"/>
        </w:trPr>
        <w:tc>
          <w:tcPr>
            <w:tcW w:w="10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门类</w:t>
            </w:r>
          </w:p>
        </w:tc>
        <w:tc>
          <w:tcPr>
            <w:tcW w:w="133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学科</w:t>
            </w:r>
          </w:p>
        </w:tc>
        <w:tc>
          <w:tcPr>
            <w:tcW w:w="28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专业（二级学科）</w:t>
            </w:r>
          </w:p>
        </w:tc>
        <w:tc>
          <w:tcPr>
            <w:tcW w:w="10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拟招人数</w:t>
            </w:r>
          </w:p>
        </w:tc>
        <w:tc>
          <w:tcPr>
            <w:tcW w:w="10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理学（07）</w:t>
            </w:r>
          </w:p>
        </w:tc>
        <w:tc>
          <w:tcPr>
            <w:tcW w:w="13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数学（0701）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基础数学（070101）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拟招推免生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25人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80" w:firstLineChars="200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计算数学（070102）</w:t>
            </w:r>
          </w:p>
        </w:tc>
        <w:tc>
          <w:tcPr>
            <w:tcW w:w="107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概率论与数理统计（070103）</w:t>
            </w:r>
          </w:p>
        </w:tc>
        <w:tc>
          <w:tcPr>
            <w:tcW w:w="107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应用数学（070104）</w:t>
            </w:r>
          </w:p>
        </w:tc>
        <w:tc>
          <w:tcPr>
            <w:tcW w:w="107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运筹学与控制论（070105）</w:t>
            </w:r>
          </w:p>
        </w:tc>
        <w:tc>
          <w:tcPr>
            <w:tcW w:w="107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数学教育（0701Z2）</w:t>
            </w:r>
          </w:p>
        </w:tc>
        <w:tc>
          <w:tcPr>
            <w:tcW w:w="107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  <w:tblCellSpacing w:w="0" w:type="dxa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</w:rPr>
              <w:t>应用数学（070104）</w:t>
            </w:r>
          </w:p>
        </w:tc>
        <w:tc>
          <w:tcPr>
            <w:tcW w:w="10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eastAsia="zh-CN"/>
              </w:rPr>
              <w:t>华南数学应用交叉研究中心</w:t>
            </w: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color w:val="auto"/>
                <w:sz w:val="24"/>
                <w:szCs w:val="24"/>
              </w:rPr>
              <w:t>拟招推免生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color w:val="auto"/>
                <w:sz w:val="24"/>
                <w:szCs w:val="24"/>
              </w:rPr>
              <w:t>人</w:t>
            </w:r>
          </w:p>
        </w:tc>
        <w:tc>
          <w:tcPr>
            <w:tcW w:w="10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ind w:firstLine="480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7"/>
        <w:tblW w:w="704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2691"/>
        <w:gridCol w:w="1561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  <w:tblCellSpacing w:w="0" w:type="dxa"/>
          <w:jc w:val="center"/>
        </w:trPr>
        <w:tc>
          <w:tcPr>
            <w:tcW w:w="12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门类</w:t>
            </w:r>
          </w:p>
        </w:tc>
        <w:tc>
          <w:tcPr>
            <w:tcW w:w="26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学科与专业</w:t>
            </w:r>
          </w:p>
        </w:tc>
        <w:tc>
          <w:tcPr>
            <w:tcW w:w="15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拟招人数</w:t>
            </w:r>
          </w:p>
        </w:tc>
        <w:tc>
          <w:tcPr>
            <w:tcW w:w="15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tblCellSpacing w:w="0" w:type="dxa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教育学（04）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教育硕士（</w:t>
            </w:r>
            <w:r>
              <w:rPr>
                <w:bCs/>
                <w:sz w:val="24"/>
                <w:szCs w:val="24"/>
              </w:rPr>
              <w:t>0451</w:t>
            </w:r>
            <w:r>
              <w:rPr>
                <w:rFonts w:hint="eastAsia"/>
                <w:bCs/>
                <w:sz w:val="24"/>
                <w:szCs w:val="24"/>
              </w:rPr>
              <w:t>04）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(学科教学</w:t>
            </w:r>
            <w:r>
              <w:rPr>
                <w:bCs/>
                <w:sz w:val="24"/>
                <w:szCs w:val="24"/>
              </w:rPr>
              <w:t>·</w:t>
            </w:r>
            <w:r>
              <w:rPr>
                <w:rFonts w:hint="eastAsia"/>
                <w:bCs/>
                <w:sz w:val="24"/>
                <w:szCs w:val="24"/>
              </w:rPr>
              <w:t>数学）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拟招推免生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15人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  <w:tblCellSpacing w:w="0" w:type="dxa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经济学（02）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金融学硕士(025100)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(数量金融与量化投资)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拟招推免生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2人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2" w:firstLineChars="200"/>
        <w:jc w:val="left"/>
        <w:textAlignment w:val="auto"/>
        <w:rPr>
          <w:rFonts w:hint="eastAsia" w:ascii="宋体" w:hAnsi="宋体" w:cs="宋体"/>
          <w:b/>
          <w:color w:val="0000FF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2" w:firstLineChars="200"/>
        <w:jc w:val="left"/>
        <w:textAlignment w:val="auto"/>
        <w:rPr>
          <w:rFonts w:ascii="宋体" w:hAnsi="宋体" w:cs="宋体"/>
          <w:b/>
          <w:color w:val="0000FF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FF"/>
          <w:kern w:val="0"/>
          <w:sz w:val="24"/>
          <w:szCs w:val="24"/>
        </w:rPr>
        <w:t>三、申请和选拔考核程序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1. 申请人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9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月2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日前使用我校推免生预报名系统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（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"http://yzsys.scnu.edu.cn/#" </w:instrText>
      </w:r>
      <w:r>
        <w:rPr>
          <w:color w:val="auto"/>
          <w:sz w:val="24"/>
          <w:szCs w:val="24"/>
        </w:rPr>
        <w:fldChar w:fldCharType="separate"/>
      </w:r>
      <w:r>
        <w:rPr>
          <w:rStyle w:val="10"/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http://yzsys.scnu.edu.cn/#</w:t>
      </w:r>
      <w:r>
        <w:rPr>
          <w:rStyle w:val="10"/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进行意向填报，9月2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日学院向考生回复复试注意事项（包括具体的时间，地点）。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（注意：此仅为预报名系统，最终录取工作考生必须进入“推免服务系统”操作）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ind w:firstLine="482" w:firstLineChars="200"/>
        <w:jc w:val="left"/>
        <w:textAlignment w:val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 xml:space="preserve">2. 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9月28日起在 “推免服务系统”填报专业志愿。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ind w:firstLine="480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. 数学科学学院通过 “推免服务系统”向申请考生发出复试通知。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ind w:firstLine="480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. 申请人回复复试通知。申请人接到复试通知后应在规定时间内确认是否同意参加复试。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ind w:firstLine="480" w:firstLineChars="2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 复试内容与形式：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ind w:firstLine="480" w:firstLineChars="2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instrText xml:space="preserve">= 1 \* GB2</w:instrTex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⑴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复试内容：外语水平测试、专业素质及能力考核、综合素质及能力考核三个部分，总成绩为100分。复试不合格（低于60分）不予录取。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instrText xml:space="preserve">= 2 \* GB2</w:instrTex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⑵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ind w:firstLine="480" w:firstLineChars="2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instrText xml:space="preserve">= 2 \* GB2</w:instrTex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⑵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复试形式：面试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ind w:firstLine="480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注意：申请者在复试报到时需向学院交验以下书面材料：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ind w:firstLine="480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</w:instrText>
      </w:r>
      <w:r>
        <w:rPr>
          <w:rFonts w:hint="eastAsia" w:ascii="宋体" w:hAnsi="宋体" w:eastAsia="宋体" w:cs="宋体"/>
          <w:kern w:val="0"/>
          <w:sz w:val="24"/>
          <w:szCs w:val="24"/>
        </w:rPr>
        <w:instrText xml:space="preserve">= 1 \* GB2</w:instrText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</w:rPr>
        <w:t>⑴</w:t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验居民身份证、学生证原件，交复印件（身份证复印正反面，学生证复印学生信息和注册情况）；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ind w:firstLine="480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</w:instrText>
      </w:r>
      <w:r>
        <w:rPr>
          <w:rFonts w:hint="eastAsia" w:ascii="宋体" w:hAnsi="宋体" w:eastAsia="宋体" w:cs="宋体"/>
          <w:kern w:val="0"/>
          <w:sz w:val="24"/>
          <w:szCs w:val="24"/>
        </w:rPr>
        <w:instrText xml:space="preserve">= 2 \* GB2</w:instrText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</w:rPr>
        <w:t>⑵</w:t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历年在校学习成绩单原件，并加盖推荐院校教务处公章；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ind w:firstLine="480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</w:instrText>
      </w:r>
      <w:r>
        <w:rPr>
          <w:rFonts w:hint="eastAsia" w:ascii="宋体" w:hAnsi="宋体" w:eastAsia="宋体" w:cs="宋体"/>
          <w:kern w:val="0"/>
          <w:sz w:val="24"/>
          <w:szCs w:val="24"/>
        </w:rPr>
        <w:instrText xml:space="preserve">= 3 \* GB2</w:instrText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</w:rPr>
        <w:t>⑶</w:t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其他有关材料（如大学英语四、六级考试成绩单，其他获奖证书、本人代表性学术论文、出版物或原创性工作成果等）验原件，交复印件。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440" w:lineRule="exact"/>
        <w:ind w:firstLine="363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（4）近三个月的</w:t>
      </w:r>
      <w:r>
        <w:rPr>
          <w:rFonts w:hint="eastAsia" w:ascii="宋体" w:hAnsi="宋体" w:eastAsia="宋体" w:cs="宋体"/>
          <w:color w:val="363636"/>
          <w:kern w:val="0"/>
          <w:sz w:val="24"/>
          <w:szCs w:val="24"/>
        </w:rPr>
        <w:t>体检表或我校医院体检回执。</w:t>
      </w:r>
      <w:r>
        <w:rPr>
          <w:rFonts w:hint="eastAsia" w:ascii="宋体" w:hAnsi="宋体" w:eastAsia="宋体" w:cs="宋体"/>
          <w:color w:val="111111"/>
          <w:kern w:val="0"/>
          <w:sz w:val="24"/>
          <w:szCs w:val="24"/>
        </w:rPr>
        <w:t>可</w:t>
      </w:r>
      <w:r>
        <w:rPr>
          <w:rFonts w:hint="eastAsia" w:ascii="宋体" w:hAnsi="宋体" w:eastAsia="宋体" w:cs="宋体"/>
          <w:color w:val="363636"/>
          <w:kern w:val="0"/>
          <w:sz w:val="24"/>
          <w:szCs w:val="24"/>
        </w:rPr>
        <w:t>在招生考试处网站（http://yz.scnu.edu.cn/a/20101013/72.html）下载体检表</w:t>
      </w:r>
      <w:r>
        <w:rPr>
          <w:rFonts w:hint="eastAsia" w:ascii="宋体" w:hAnsi="宋体" w:eastAsia="宋体" w:cs="宋体"/>
          <w:kern w:val="0"/>
          <w:sz w:val="24"/>
          <w:szCs w:val="24"/>
        </w:rPr>
        <w:t>并按表格要求在三甲以上医院或我校医院（石牌校区内）体检，</w:t>
      </w:r>
      <w:r>
        <w:rPr>
          <w:rFonts w:hint="eastAsia" w:ascii="宋体" w:hAnsi="宋体" w:eastAsia="宋体" w:cs="宋体"/>
          <w:color w:val="111111"/>
          <w:kern w:val="0"/>
          <w:sz w:val="24"/>
          <w:szCs w:val="24"/>
        </w:rPr>
        <w:t>未提交体检表或体检不合格者不予接收。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b/>
          <w:color w:val="0000FF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. 初定拟接收名单。学院初定拟接收名单，在“推免服务系统”发送待录取通知，申请者须按要求及时在系统回复是否接受待录取。同时，学院将拟接收的名单报学校招考处，经学校研究生招生工作领导小组审核后，学校研招办网站予以公示10天，公示期间如有异议且核查属实的，学校有权利取消已发送的待录取通知，申请者也须配合进行系统的操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2" w:firstLineChars="200"/>
        <w:textAlignment w:val="auto"/>
        <w:rPr>
          <w:rFonts w:ascii="宋体" w:hAnsi="宋体" w:cs="宋体"/>
          <w:b/>
          <w:color w:val="0000FF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FF"/>
          <w:kern w:val="0"/>
          <w:sz w:val="24"/>
          <w:szCs w:val="24"/>
        </w:rPr>
        <w:t>四、奖励资助政策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学校现有的奖励资助种类如下，符合条件者可申请：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1.国家奖学金：20000元。国家奖学金的奖励名额及资金均以当年国家下达文件为准。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2.学业奖学金：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（1）新生学业奖学金：一等奖10000元，二等奖6000元（推免生可获得一等奖）；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（2）二、三年级学业奖学金（按二、三学年学业成绩评比）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一等 10000元，获奖比例20%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二等 8000元，获奖比例30%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三等 6000元，获奖比例50%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3.国家助学金：每年6000元，获奖比例100%（有固定收入者除外）；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4.社会资助奖助学金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5.研究生“三助”岗位津贴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6.国家助学贷款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7.研究生特殊困难补助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8.其它奖助政策可登录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学院</w:t>
      </w:r>
      <w:r>
        <w:rPr>
          <w:rFonts w:hint="eastAsia" w:ascii="宋体" w:hAnsi="宋体" w:cs="宋体"/>
          <w:kern w:val="0"/>
          <w:sz w:val="24"/>
          <w:szCs w:val="24"/>
        </w:rPr>
        <w:t>网站查阅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或咨询学院研究生辅导员</w:t>
      </w:r>
      <w:r>
        <w:rPr>
          <w:rFonts w:hint="eastAsia" w:ascii="宋体" w:hAnsi="宋体" w:cs="宋体"/>
          <w:kern w:val="0"/>
          <w:sz w:val="24"/>
          <w:szCs w:val="24"/>
        </w:rPr>
        <w:t>（如有</w:t>
      </w:r>
      <w:r>
        <w:rPr>
          <w:rFonts w:ascii="宋体" w:hAnsi="宋体" w:cs="宋体"/>
          <w:kern w:val="0"/>
          <w:sz w:val="24"/>
          <w:szCs w:val="24"/>
        </w:rPr>
        <w:t>变动，</w:t>
      </w:r>
      <w:r>
        <w:rPr>
          <w:rFonts w:hint="eastAsia" w:ascii="宋体" w:hAnsi="宋体" w:cs="宋体"/>
          <w:kern w:val="0"/>
          <w:sz w:val="24"/>
          <w:szCs w:val="24"/>
        </w:rPr>
        <w:t>以</w:t>
      </w:r>
      <w:r>
        <w:rPr>
          <w:rFonts w:ascii="宋体" w:hAnsi="宋体" w:cs="宋体"/>
          <w:kern w:val="0"/>
          <w:sz w:val="24"/>
          <w:szCs w:val="24"/>
        </w:rPr>
        <w:t>学校</w:t>
      </w:r>
      <w:r>
        <w:rPr>
          <w:rFonts w:hint="eastAsia" w:ascii="宋体" w:hAnsi="宋体" w:cs="宋体"/>
          <w:kern w:val="0"/>
          <w:sz w:val="24"/>
          <w:szCs w:val="24"/>
        </w:rPr>
        <w:t>最新</w:t>
      </w:r>
      <w:r>
        <w:rPr>
          <w:rFonts w:ascii="宋体" w:hAnsi="宋体" w:cs="宋体"/>
          <w:kern w:val="0"/>
          <w:sz w:val="24"/>
          <w:szCs w:val="24"/>
        </w:rPr>
        <w:t>的奖助学金</w:t>
      </w:r>
      <w:r>
        <w:rPr>
          <w:rFonts w:hint="eastAsia" w:ascii="宋体" w:hAnsi="宋体" w:cs="宋体"/>
          <w:kern w:val="0"/>
          <w:sz w:val="24"/>
          <w:szCs w:val="24"/>
        </w:rPr>
        <w:t>规章制度</w:t>
      </w:r>
      <w:r>
        <w:rPr>
          <w:rFonts w:ascii="宋体" w:hAnsi="宋体" w:cs="宋体"/>
          <w:kern w:val="0"/>
          <w:sz w:val="24"/>
          <w:szCs w:val="24"/>
        </w:rPr>
        <w:t>执行</w:t>
      </w:r>
      <w:r>
        <w:rPr>
          <w:rFonts w:hint="eastAsia" w:ascii="宋体" w:hAnsi="宋体" w:cs="宋体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2" w:firstLineChars="200"/>
        <w:jc w:val="left"/>
        <w:textAlignment w:val="auto"/>
        <w:rPr>
          <w:rFonts w:ascii="宋体" w:hAnsi="宋体" w:cs="宋体"/>
          <w:b/>
          <w:color w:val="0000FF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FF"/>
          <w:kern w:val="0"/>
          <w:sz w:val="24"/>
          <w:szCs w:val="24"/>
        </w:rPr>
        <w:t>五、其他事项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1．申请学生须确保所提交申请材料的真实性和准确性，对在申请推免生过程中弄虚作假的学生，一经发现，立即取消录取资格。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2．我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院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确定接收的推免生，在20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年9月1日前未获得学士学位或本科毕业证书者，将取消录取资格。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3．已被我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院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接收的推荐免试生不得再报名参加全国硕士研究生招生考试，否则取消其推免录取资格。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4．咨询、监督与申诉渠道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00"/>
        <w:textAlignment w:val="auto"/>
        <w:rPr>
          <w:rFonts w:hint="eastAsia" w:ascii="宋体" w:hAnsi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  <w:lang w:eastAsia="zh-CN"/>
        </w:rPr>
        <w:t>数学科学学院咨询</w:t>
      </w:r>
      <w:r>
        <w:rPr>
          <w:rFonts w:hint="eastAsia" w:ascii="宋体" w:hAnsi="宋体"/>
          <w:kern w:val="0"/>
          <w:sz w:val="24"/>
          <w:szCs w:val="24"/>
        </w:rPr>
        <w:t>电话: （020）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85210809 刘老师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00"/>
        <w:textAlignment w:val="auto"/>
        <w:rPr>
          <w:rFonts w:hint="eastAsia" w:ascii="宋体" w:hAnsi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00"/>
        <w:textAlignment w:val="auto"/>
        <w:rPr>
          <w:rFonts w:hint="eastAsia" w:ascii="宋体" w:hAnsi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righ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华南师范大学</w:t>
      </w:r>
      <w:r>
        <w:rPr>
          <w:rFonts w:hint="eastAsia"/>
          <w:sz w:val="24"/>
          <w:szCs w:val="24"/>
          <w:lang w:eastAsia="zh-CN"/>
        </w:rPr>
        <w:t>数学科学学院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6720" w:firstLineChars="2800"/>
        <w:jc w:val="both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年9月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5C"/>
    <w:rsid w:val="00036624"/>
    <w:rsid w:val="000B6860"/>
    <w:rsid w:val="00141F24"/>
    <w:rsid w:val="001F3453"/>
    <w:rsid w:val="001F63AB"/>
    <w:rsid w:val="0020025D"/>
    <w:rsid w:val="00294798"/>
    <w:rsid w:val="003276A7"/>
    <w:rsid w:val="003E7607"/>
    <w:rsid w:val="004072FD"/>
    <w:rsid w:val="004F4663"/>
    <w:rsid w:val="005169EF"/>
    <w:rsid w:val="005D30EB"/>
    <w:rsid w:val="005F1726"/>
    <w:rsid w:val="00602C9C"/>
    <w:rsid w:val="00660F52"/>
    <w:rsid w:val="00674950"/>
    <w:rsid w:val="006811A8"/>
    <w:rsid w:val="006A21F9"/>
    <w:rsid w:val="007460F5"/>
    <w:rsid w:val="007E4598"/>
    <w:rsid w:val="008010EC"/>
    <w:rsid w:val="00834F3D"/>
    <w:rsid w:val="008545C1"/>
    <w:rsid w:val="00874E67"/>
    <w:rsid w:val="008C1D8D"/>
    <w:rsid w:val="008D372E"/>
    <w:rsid w:val="00A04944"/>
    <w:rsid w:val="00A55E84"/>
    <w:rsid w:val="00A617F4"/>
    <w:rsid w:val="00A62B5C"/>
    <w:rsid w:val="00A872AE"/>
    <w:rsid w:val="00AC5B62"/>
    <w:rsid w:val="00C10C32"/>
    <w:rsid w:val="00C36DD3"/>
    <w:rsid w:val="00C3761F"/>
    <w:rsid w:val="00CA6B6E"/>
    <w:rsid w:val="00CB1084"/>
    <w:rsid w:val="00CE0E1D"/>
    <w:rsid w:val="00D25C73"/>
    <w:rsid w:val="00D40EF8"/>
    <w:rsid w:val="00D63BC1"/>
    <w:rsid w:val="00D83F1B"/>
    <w:rsid w:val="00D92762"/>
    <w:rsid w:val="00D94EBB"/>
    <w:rsid w:val="00E1410D"/>
    <w:rsid w:val="00E25E6E"/>
    <w:rsid w:val="00E8767A"/>
    <w:rsid w:val="00F0553B"/>
    <w:rsid w:val="00F43837"/>
    <w:rsid w:val="00F60006"/>
    <w:rsid w:val="00FA61FA"/>
    <w:rsid w:val="00FE0C5C"/>
    <w:rsid w:val="04FC07E5"/>
    <w:rsid w:val="0EB143D9"/>
    <w:rsid w:val="1C774A7E"/>
    <w:rsid w:val="218B4F70"/>
    <w:rsid w:val="328F2EB5"/>
    <w:rsid w:val="3EB35AFA"/>
    <w:rsid w:val="453035FB"/>
    <w:rsid w:val="4A100980"/>
    <w:rsid w:val="551031FC"/>
    <w:rsid w:val="59741F58"/>
    <w:rsid w:val="6F130215"/>
    <w:rsid w:val="76B60822"/>
    <w:rsid w:val="7878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纯文本 Char"/>
    <w:basedOn w:val="8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2726A8-6425-42DF-A863-6099AADAC1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287</Words>
  <Characters>1642</Characters>
  <Lines>13</Lines>
  <Paragraphs>3</Paragraphs>
  <TotalTime>9</TotalTime>
  <ScaleCrop>false</ScaleCrop>
  <LinksUpToDate>false</LinksUpToDate>
  <CharactersWithSpaces>1926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2016-09-12T03:19:00Z</dcterms:created>
  <dc:creator>Angelinasun</dc:creator>
  <cp:lastModifiedBy>sun</cp:lastModifiedBy>
  <dcterms:modified xsi:type="dcterms:W3CDTF">2019-09-17T03:27:24Z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