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BC0" w:rsidRPr="00620BC0" w:rsidRDefault="00014CD6" w:rsidP="00620BC0">
      <w:pPr>
        <w:widowControl/>
        <w:shd w:val="clear" w:color="auto" w:fill="FFFFFF"/>
        <w:spacing w:line="360" w:lineRule="atLeast"/>
        <w:ind w:left="300" w:right="150"/>
        <w:jc w:val="center"/>
        <w:rPr>
          <w:rFonts w:ascii="宋体" w:eastAsia="宋体" w:hAnsi="宋体" w:cs="宋体"/>
          <w:color w:val="333333"/>
          <w:kern w:val="0"/>
          <w:sz w:val="18"/>
          <w:szCs w:val="18"/>
        </w:rPr>
      </w:pPr>
      <w:r>
        <w:rPr>
          <w:rFonts w:ascii="黑体" w:eastAsia="黑体" w:hAnsi="黑体" w:cs="宋体" w:hint="eastAsia"/>
          <w:b/>
          <w:bCs/>
          <w:color w:val="333333"/>
          <w:kern w:val="0"/>
          <w:sz w:val="29"/>
          <w:szCs w:val="29"/>
        </w:rPr>
        <w:t>2018</w:t>
      </w:r>
      <w:r w:rsidR="00620BC0" w:rsidRPr="00620BC0">
        <w:rPr>
          <w:rFonts w:ascii="黑体" w:eastAsia="黑体" w:hAnsi="黑体" w:cs="宋体" w:hint="eastAsia"/>
          <w:b/>
          <w:bCs/>
          <w:color w:val="333333"/>
          <w:kern w:val="0"/>
          <w:sz w:val="29"/>
          <w:szCs w:val="29"/>
        </w:rPr>
        <w:t>年秋季华南师范大学与美国湘尼州立大学</w:t>
      </w:r>
    </w:p>
    <w:p w:rsidR="00620BC0" w:rsidRPr="00620BC0" w:rsidRDefault="00620BC0" w:rsidP="00620BC0">
      <w:pPr>
        <w:widowControl/>
        <w:shd w:val="clear" w:color="auto" w:fill="FFFFFF"/>
        <w:spacing w:line="360" w:lineRule="atLeast"/>
        <w:ind w:left="300" w:right="150"/>
        <w:jc w:val="center"/>
        <w:rPr>
          <w:rFonts w:ascii="宋体" w:eastAsia="宋体" w:hAnsi="宋体" w:cs="宋体"/>
          <w:color w:val="333333"/>
          <w:kern w:val="0"/>
          <w:sz w:val="18"/>
          <w:szCs w:val="18"/>
        </w:rPr>
      </w:pPr>
      <w:r w:rsidRPr="00620BC0">
        <w:rPr>
          <w:rFonts w:ascii="黑体" w:eastAsia="黑体" w:hAnsi="黑体" w:cs="宋体" w:hint="eastAsia"/>
          <w:b/>
          <w:bCs/>
          <w:color w:val="333333"/>
          <w:kern w:val="0"/>
          <w:sz w:val="29"/>
          <w:szCs w:val="29"/>
        </w:rPr>
        <w:t>访问学生项目报名通知</w:t>
      </w:r>
    </w:p>
    <w:p w:rsidR="00620BC0" w:rsidRDefault="00620BC0" w:rsidP="00620BC0">
      <w:pPr>
        <w:widowControl/>
        <w:shd w:val="clear" w:color="auto" w:fill="FFFFFF"/>
        <w:spacing w:line="495" w:lineRule="atLeast"/>
        <w:ind w:left="300" w:right="150" w:firstLine="480"/>
        <w:jc w:val="left"/>
        <w:rPr>
          <w:rFonts w:ascii="仿宋" w:eastAsia="仿宋" w:hAnsi="仿宋" w:cs="宋体"/>
          <w:color w:val="333333"/>
          <w:kern w:val="0"/>
          <w:szCs w:val="21"/>
        </w:rPr>
      </w:pPr>
    </w:p>
    <w:p w:rsidR="00620BC0" w:rsidRPr="00620BC0" w:rsidRDefault="00620BC0" w:rsidP="00620BC0">
      <w:pPr>
        <w:widowControl/>
        <w:shd w:val="clear" w:color="auto" w:fill="FFFFFF"/>
        <w:spacing w:line="495" w:lineRule="atLeast"/>
        <w:ind w:left="300" w:right="150" w:firstLine="480"/>
        <w:jc w:val="left"/>
        <w:rPr>
          <w:rFonts w:ascii="宋体" w:eastAsia="宋体" w:hAnsi="宋体" w:cs="宋体"/>
          <w:color w:val="333333"/>
          <w:kern w:val="0"/>
          <w:sz w:val="18"/>
          <w:szCs w:val="18"/>
        </w:rPr>
      </w:pPr>
      <w:r w:rsidRPr="00620BC0">
        <w:rPr>
          <w:rFonts w:ascii="仿宋" w:eastAsia="仿宋" w:hAnsi="仿宋" w:cs="宋体" w:hint="eastAsia"/>
          <w:color w:val="333333"/>
          <w:kern w:val="0"/>
          <w:sz w:val="24"/>
          <w:szCs w:val="24"/>
        </w:rPr>
        <w:t>根据华南师范大学与美国湘尼州立大学(Shawnee State University)签署的校际交流协议，我校拟于</w:t>
      </w:r>
      <w:r>
        <w:rPr>
          <w:rFonts w:ascii="仿宋" w:eastAsia="仿宋" w:hAnsi="仿宋" w:cs="宋体" w:hint="eastAsia"/>
          <w:color w:val="333333"/>
          <w:kern w:val="0"/>
          <w:sz w:val="24"/>
          <w:szCs w:val="24"/>
        </w:rPr>
        <w:t>2018</w:t>
      </w:r>
      <w:r w:rsidRPr="00620BC0">
        <w:rPr>
          <w:rFonts w:ascii="仿宋" w:eastAsia="仿宋" w:hAnsi="仿宋" w:cs="宋体" w:hint="eastAsia"/>
          <w:color w:val="333333"/>
          <w:kern w:val="0"/>
          <w:sz w:val="24"/>
          <w:szCs w:val="24"/>
        </w:rPr>
        <w:t>年8月</w:t>
      </w:r>
      <w:r>
        <w:rPr>
          <w:rFonts w:ascii="仿宋" w:eastAsia="仿宋" w:hAnsi="仿宋" w:cs="宋体" w:hint="eastAsia"/>
          <w:color w:val="333333"/>
          <w:kern w:val="0"/>
          <w:sz w:val="24"/>
          <w:szCs w:val="24"/>
        </w:rPr>
        <w:t>-2019</w:t>
      </w:r>
      <w:r w:rsidRPr="00620BC0">
        <w:rPr>
          <w:rFonts w:ascii="仿宋" w:eastAsia="仿宋" w:hAnsi="仿宋" w:cs="宋体" w:hint="eastAsia"/>
          <w:color w:val="333333"/>
          <w:kern w:val="0"/>
          <w:sz w:val="24"/>
          <w:szCs w:val="24"/>
        </w:rPr>
        <w:t>年5月派遣访问学生（10名）赴该校学习一学年，现将有关事项通知如下：</w:t>
      </w:r>
      <w:r w:rsidRPr="00620BC0">
        <w:rPr>
          <w:rFonts w:ascii="仿宋" w:eastAsia="仿宋" w:hAnsi="仿宋" w:cs="宋体" w:hint="eastAsia"/>
          <w:color w:val="333333"/>
          <w:kern w:val="0"/>
          <w:szCs w:val="21"/>
        </w:rPr>
        <w:br/>
      </w:r>
      <w:r w:rsidRPr="00620BC0">
        <w:rPr>
          <w:rFonts w:ascii="仿宋" w:eastAsia="仿宋" w:hAnsi="仿宋" w:cs="宋体" w:hint="eastAsia"/>
          <w:color w:val="333333"/>
          <w:kern w:val="0"/>
          <w:sz w:val="24"/>
          <w:szCs w:val="24"/>
        </w:rPr>
        <w:t>一、选派对象及人数</w:t>
      </w:r>
      <w:r w:rsidRPr="00620BC0">
        <w:rPr>
          <w:rFonts w:ascii="仿宋" w:eastAsia="仿宋" w:hAnsi="仿宋" w:cs="宋体" w:hint="eastAsia"/>
          <w:color w:val="333333"/>
          <w:kern w:val="0"/>
          <w:sz w:val="24"/>
          <w:szCs w:val="24"/>
        </w:rPr>
        <w:br/>
      </w:r>
      <w:r w:rsidRPr="00620BC0">
        <w:rPr>
          <w:rFonts w:ascii="Calibri" w:eastAsia="仿宋" w:hAnsi="Calibri" w:cs="Calibri"/>
          <w:color w:val="333333"/>
          <w:kern w:val="0"/>
          <w:sz w:val="24"/>
          <w:szCs w:val="24"/>
        </w:rPr>
        <w:t>    </w:t>
      </w:r>
      <w:r w:rsidRPr="00620BC0">
        <w:rPr>
          <w:rFonts w:ascii="仿宋" w:eastAsia="仿宋" w:hAnsi="仿宋" w:cs="宋体" w:hint="eastAsia"/>
          <w:color w:val="333333"/>
          <w:kern w:val="0"/>
          <w:sz w:val="24"/>
          <w:szCs w:val="24"/>
        </w:rPr>
        <w:t>我校在册全日制本科生，专业不限，人数共10名。对方院校有关专业可自行登陆http://www.shawnee.edu/查询。</w:t>
      </w:r>
    </w:p>
    <w:p w:rsidR="00620BC0" w:rsidRPr="00620BC0" w:rsidRDefault="00620BC0" w:rsidP="00620BC0">
      <w:pPr>
        <w:widowControl/>
        <w:shd w:val="clear" w:color="auto" w:fill="FFFFFF"/>
        <w:spacing w:line="495" w:lineRule="atLeast"/>
        <w:ind w:left="300" w:right="150"/>
        <w:jc w:val="left"/>
        <w:rPr>
          <w:rFonts w:ascii="宋体" w:eastAsia="宋体" w:hAnsi="宋体" w:cs="宋体"/>
          <w:color w:val="333333"/>
          <w:kern w:val="0"/>
          <w:sz w:val="18"/>
          <w:szCs w:val="18"/>
        </w:rPr>
      </w:pPr>
      <w:r w:rsidRPr="00620BC0">
        <w:rPr>
          <w:rFonts w:ascii="仿宋" w:eastAsia="仿宋" w:hAnsi="仿宋" w:cs="宋体" w:hint="eastAsia"/>
          <w:color w:val="333333"/>
          <w:kern w:val="0"/>
          <w:sz w:val="24"/>
          <w:szCs w:val="24"/>
        </w:rPr>
        <w:t>二、交流学习时间</w:t>
      </w:r>
    </w:p>
    <w:p w:rsidR="00620BC0" w:rsidRPr="00620BC0" w:rsidRDefault="00620BC0" w:rsidP="00620BC0">
      <w:pPr>
        <w:widowControl/>
        <w:shd w:val="clear" w:color="auto" w:fill="FFFFFF"/>
        <w:spacing w:line="495" w:lineRule="atLeast"/>
        <w:ind w:left="300" w:right="150"/>
        <w:jc w:val="left"/>
        <w:rPr>
          <w:rFonts w:ascii="宋体" w:eastAsia="宋体" w:hAnsi="宋体" w:cs="宋体"/>
          <w:color w:val="333333"/>
          <w:kern w:val="0"/>
          <w:sz w:val="18"/>
          <w:szCs w:val="18"/>
        </w:rPr>
      </w:pPr>
      <w:r>
        <w:rPr>
          <w:rFonts w:ascii="仿宋" w:eastAsia="仿宋" w:hAnsi="仿宋" w:cs="宋体" w:hint="eastAsia"/>
          <w:color w:val="333333"/>
          <w:kern w:val="0"/>
          <w:sz w:val="24"/>
          <w:szCs w:val="24"/>
        </w:rPr>
        <w:t>2018</w:t>
      </w:r>
      <w:r w:rsidRPr="00620BC0">
        <w:rPr>
          <w:rFonts w:ascii="仿宋" w:eastAsia="仿宋" w:hAnsi="仿宋" w:cs="宋体" w:hint="eastAsia"/>
          <w:color w:val="333333"/>
          <w:kern w:val="0"/>
          <w:sz w:val="24"/>
          <w:szCs w:val="24"/>
        </w:rPr>
        <w:t>年8月—</w:t>
      </w:r>
      <w:r>
        <w:rPr>
          <w:rFonts w:ascii="仿宋" w:eastAsia="仿宋" w:hAnsi="仿宋" w:cs="宋体" w:hint="eastAsia"/>
          <w:color w:val="333333"/>
          <w:kern w:val="0"/>
          <w:sz w:val="24"/>
          <w:szCs w:val="24"/>
        </w:rPr>
        <w:t>2019</w:t>
      </w:r>
      <w:r w:rsidRPr="00620BC0">
        <w:rPr>
          <w:rFonts w:ascii="仿宋" w:eastAsia="仿宋" w:hAnsi="仿宋" w:cs="宋体" w:hint="eastAsia"/>
          <w:color w:val="333333"/>
          <w:kern w:val="0"/>
          <w:sz w:val="24"/>
          <w:szCs w:val="24"/>
        </w:rPr>
        <w:t>年5月（两学期）</w:t>
      </w:r>
    </w:p>
    <w:p w:rsidR="00620BC0" w:rsidRPr="00620BC0" w:rsidRDefault="00620BC0" w:rsidP="00620BC0">
      <w:pPr>
        <w:widowControl/>
        <w:shd w:val="clear" w:color="auto" w:fill="FFFFFF"/>
        <w:spacing w:line="495" w:lineRule="atLeast"/>
        <w:ind w:left="300" w:right="150"/>
        <w:jc w:val="left"/>
        <w:rPr>
          <w:rFonts w:ascii="宋体" w:eastAsia="宋体" w:hAnsi="宋体" w:cs="宋体"/>
          <w:color w:val="333333"/>
          <w:kern w:val="0"/>
          <w:sz w:val="18"/>
          <w:szCs w:val="18"/>
        </w:rPr>
      </w:pPr>
      <w:r w:rsidRPr="00620BC0">
        <w:rPr>
          <w:rFonts w:ascii="仿宋" w:eastAsia="仿宋" w:hAnsi="仿宋" w:cs="宋体" w:hint="eastAsia"/>
          <w:color w:val="333333"/>
          <w:kern w:val="0"/>
          <w:sz w:val="24"/>
          <w:szCs w:val="24"/>
        </w:rPr>
        <w:t>三、申请及项目要求</w:t>
      </w:r>
    </w:p>
    <w:p w:rsidR="00620BC0" w:rsidRPr="00620BC0" w:rsidRDefault="00620BC0" w:rsidP="00620BC0">
      <w:pPr>
        <w:widowControl/>
        <w:shd w:val="clear" w:color="auto" w:fill="FFFFFF"/>
        <w:spacing w:line="495" w:lineRule="atLeast"/>
        <w:ind w:left="420" w:right="150"/>
        <w:jc w:val="left"/>
        <w:rPr>
          <w:rFonts w:ascii="宋体" w:eastAsia="宋体" w:hAnsi="宋体" w:cs="宋体"/>
          <w:color w:val="333333"/>
          <w:kern w:val="0"/>
          <w:sz w:val="18"/>
          <w:szCs w:val="18"/>
        </w:rPr>
      </w:pPr>
      <w:r w:rsidRPr="00620BC0">
        <w:rPr>
          <w:rFonts w:ascii="仿宋" w:eastAsia="仿宋" w:hAnsi="仿宋" w:cs="宋体" w:hint="eastAsia"/>
          <w:color w:val="333333"/>
          <w:kern w:val="0"/>
          <w:sz w:val="24"/>
          <w:szCs w:val="24"/>
        </w:rPr>
        <w:t>1.</w:t>
      </w:r>
      <w:r w:rsidRPr="005F668C">
        <w:rPr>
          <w:rFonts w:ascii="Calibri" w:eastAsia="仿宋" w:hAnsi="Calibri" w:cs="Calibri"/>
          <w:color w:val="333333"/>
          <w:kern w:val="0"/>
          <w:sz w:val="24"/>
          <w:szCs w:val="24"/>
        </w:rPr>
        <w:t> </w:t>
      </w:r>
      <w:r w:rsidR="005F668C" w:rsidRPr="005F668C">
        <w:rPr>
          <w:rFonts w:ascii="仿宋" w:eastAsia="仿宋" w:hAnsi="仿宋" w:cs="宋体" w:hint="eastAsia"/>
          <w:color w:val="333333"/>
          <w:kern w:val="0"/>
          <w:sz w:val="24"/>
          <w:szCs w:val="24"/>
        </w:rPr>
        <w:t>身心健康，具有较好的综合、政治、心理素质，学习成绩优异</w:t>
      </w:r>
      <w:r w:rsidRPr="00620BC0">
        <w:rPr>
          <w:rFonts w:ascii="仿宋" w:eastAsia="仿宋" w:hAnsi="仿宋" w:cs="宋体" w:hint="eastAsia"/>
          <w:color w:val="333333"/>
          <w:kern w:val="0"/>
          <w:sz w:val="24"/>
          <w:szCs w:val="24"/>
        </w:rPr>
        <w:t>；</w:t>
      </w:r>
    </w:p>
    <w:p w:rsidR="00620BC0" w:rsidRPr="00620BC0" w:rsidRDefault="00620BC0" w:rsidP="00620BC0">
      <w:pPr>
        <w:widowControl/>
        <w:shd w:val="clear" w:color="auto" w:fill="FFFFFF"/>
        <w:spacing w:line="495" w:lineRule="atLeast"/>
        <w:ind w:left="420" w:right="150"/>
        <w:jc w:val="left"/>
        <w:rPr>
          <w:rFonts w:ascii="宋体" w:eastAsia="宋体" w:hAnsi="宋体" w:cs="宋体"/>
          <w:color w:val="333333"/>
          <w:kern w:val="0"/>
          <w:sz w:val="18"/>
          <w:szCs w:val="18"/>
        </w:rPr>
      </w:pPr>
      <w:r w:rsidRPr="00620BC0">
        <w:rPr>
          <w:rFonts w:ascii="仿宋" w:eastAsia="仿宋" w:hAnsi="仿宋" w:cs="宋体" w:hint="eastAsia"/>
          <w:color w:val="333333"/>
          <w:kern w:val="0"/>
          <w:sz w:val="24"/>
          <w:szCs w:val="24"/>
        </w:rPr>
        <w:t>2.</w:t>
      </w:r>
      <w:r w:rsidRPr="00620BC0">
        <w:rPr>
          <w:rFonts w:ascii="Calibri" w:eastAsia="仿宋" w:hAnsi="Calibri" w:cs="Calibri"/>
          <w:color w:val="333333"/>
          <w:kern w:val="0"/>
          <w:sz w:val="24"/>
          <w:szCs w:val="24"/>
        </w:rPr>
        <w:t> </w:t>
      </w:r>
      <w:r w:rsidRPr="00620BC0">
        <w:rPr>
          <w:rFonts w:ascii="仿宋" w:eastAsia="仿宋" w:hAnsi="仿宋" w:cs="宋体" w:hint="eastAsia"/>
          <w:color w:val="333333"/>
          <w:kern w:val="0"/>
          <w:sz w:val="24"/>
          <w:szCs w:val="24"/>
        </w:rPr>
        <w:t>我校学生根据自身学习计划安排及家庭经济承受能力自愿报名；</w:t>
      </w:r>
    </w:p>
    <w:p w:rsidR="00620BC0" w:rsidRPr="00620BC0" w:rsidRDefault="00620BC0" w:rsidP="00620BC0">
      <w:pPr>
        <w:widowControl/>
        <w:shd w:val="clear" w:color="auto" w:fill="FFFFFF"/>
        <w:spacing w:line="495" w:lineRule="atLeast"/>
        <w:ind w:left="420" w:right="150"/>
        <w:jc w:val="left"/>
        <w:rPr>
          <w:rFonts w:ascii="宋体" w:eastAsia="宋体" w:hAnsi="宋体" w:cs="宋体"/>
          <w:color w:val="333333"/>
          <w:kern w:val="0"/>
          <w:sz w:val="18"/>
          <w:szCs w:val="18"/>
        </w:rPr>
      </w:pPr>
      <w:r w:rsidRPr="00620BC0">
        <w:rPr>
          <w:rFonts w:ascii="仿宋" w:eastAsia="仿宋" w:hAnsi="仿宋" w:cs="宋体" w:hint="eastAsia"/>
          <w:color w:val="333333"/>
          <w:kern w:val="0"/>
          <w:sz w:val="24"/>
          <w:szCs w:val="24"/>
        </w:rPr>
        <w:t>3.</w:t>
      </w:r>
      <w:r w:rsidRPr="00620BC0">
        <w:rPr>
          <w:rFonts w:ascii="Calibri" w:eastAsia="仿宋" w:hAnsi="Calibri" w:cs="Calibri"/>
          <w:color w:val="333333"/>
          <w:kern w:val="0"/>
          <w:sz w:val="24"/>
          <w:szCs w:val="24"/>
        </w:rPr>
        <w:t> </w:t>
      </w:r>
      <w:r w:rsidRPr="00620BC0">
        <w:rPr>
          <w:rFonts w:ascii="仿宋" w:eastAsia="仿宋" w:hAnsi="仿宋" w:cs="宋体" w:hint="eastAsia"/>
          <w:color w:val="333333"/>
          <w:kern w:val="0"/>
          <w:sz w:val="24"/>
          <w:szCs w:val="24"/>
        </w:rPr>
        <w:t>我校学生必须在出国前购买符合两校规定的境外意外及医疗保险并提交有效的保险证明。如出国前无法提交有效的保险证明，学校有权终止派出交流生；</w:t>
      </w:r>
    </w:p>
    <w:p w:rsidR="00620BC0" w:rsidRPr="00620BC0" w:rsidRDefault="00620BC0" w:rsidP="00620BC0">
      <w:pPr>
        <w:widowControl/>
        <w:shd w:val="clear" w:color="auto" w:fill="FFFFFF"/>
        <w:spacing w:line="495" w:lineRule="atLeast"/>
        <w:ind w:left="420" w:right="150"/>
        <w:jc w:val="left"/>
        <w:rPr>
          <w:rFonts w:ascii="宋体" w:eastAsia="宋体" w:hAnsi="宋体" w:cs="宋体"/>
          <w:color w:val="333333"/>
          <w:kern w:val="0"/>
          <w:sz w:val="18"/>
          <w:szCs w:val="18"/>
        </w:rPr>
      </w:pPr>
      <w:r w:rsidRPr="00620BC0">
        <w:rPr>
          <w:rFonts w:ascii="仿宋" w:eastAsia="仿宋" w:hAnsi="仿宋" w:cs="宋体" w:hint="eastAsia"/>
          <w:color w:val="333333"/>
          <w:kern w:val="0"/>
          <w:sz w:val="24"/>
          <w:szCs w:val="24"/>
        </w:rPr>
        <w:t>4.</w:t>
      </w:r>
      <w:r w:rsidRPr="00620BC0">
        <w:rPr>
          <w:rFonts w:ascii="Calibri" w:eastAsia="仿宋" w:hAnsi="Calibri" w:cs="Calibri"/>
          <w:color w:val="333333"/>
          <w:kern w:val="0"/>
          <w:sz w:val="24"/>
          <w:szCs w:val="24"/>
        </w:rPr>
        <w:t> </w:t>
      </w:r>
      <w:r w:rsidRPr="00620BC0">
        <w:rPr>
          <w:rFonts w:ascii="仿宋" w:eastAsia="仿宋" w:hAnsi="仿宋" w:cs="宋体" w:hint="eastAsia"/>
          <w:color w:val="333333"/>
          <w:kern w:val="0"/>
          <w:sz w:val="24"/>
          <w:szCs w:val="24"/>
        </w:rPr>
        <w:t>我校学生须选择就读与华师本专业相同或相近专业。学校根据教务处的有关管理规定，保留学生交流学习期间的学籍，依据交换生在美国修读的课程及学分，由所在学院进行具体的课程认定并制定相关课程免修与补修方案（交换学习期间的学籍、学分、实习及毕业论文等事宜，按照教务处有关规定执行，详情请咨询教务处或学院主管教学副院长）。</w:t>
      </w:r>
    </w:p>
    <w:p w:rsidR="00620BC0" w:rsidRPr="00620BC0" w:rsidRDefault="00620BC0" w:rsidP="00620BC0">
      <w:pPr>
        <w:widowControl/>
        <w:shd w:val="clear" w:color="auto" w:fill="FFFFFF"/>
        <w:spacing w:line="495" w:lineRule="atLeast"/>
        <w:ind w:left="420" w:right="150"/>
        <w:jc w:val="left"/>
        <w:rPr>
          <w:rFonts w:ascii="宋体" w:eastAsia="宋体" w:hAnsi="宋体" w:cs="宋体"/>
          <w:color w:val="333333"/>
          <w:kern w:val="0"/>
          <w:sz w:val="18"/>
          <w:szCs w:val="18"/>
        </w:rPr>
      </w:pPr>
      <w:r w:rsidRPr="00620BC0">
        <w:rPr>
          <w:rFonts w:ascii="仿宋" w:eastAsia="仿宋" w:hAnsi="仿宋" w:cs="宋体" w:hint="eastAsia"/>
          <w:color w:val="333333"/>
          <w:kern w:val="0"/>
          <w:sz w:val="24"/>
          <w:szCs w:val="24"/>
        </w:rPr>
        <w:t>5.</w:t>
      </w:r>
      <w:r w:rsidRPr="00620BC0">
        <w:rPr>
          <w:rFonts w:ascii="Calibri" w:eastAsia="仿宋" w:hAnsi="Calibri" w:cs="Calibri"/>
          <w:color w:val="333333"/>
          <w:kern w:val="0"/>
          <w:sz w:val="24"/>
          <w:szCs w:val="24"/>
        </w:rPr>
        <w:t> </w:t>
      </w:r>
      <w:r w:rsidRPr="00620BC0">
        <w:rPr>
          <w:rFonts w:ascii="仿宋" w:eastAsia="仿宋" w:hAnsi="仿宋" w:cs="宋体" w:hint="eastAsia"/>
          <w:color w:val="333333"/>
          <w:kern w:val="0"/>
          <w:sz w:val="24"/>
          <w:szCs w:val="24"/>
        </w:rPr>
        <w:t>符合湘尼州立大学入学语言水平要求（雅思5.5，托福500，Ibt60）或通过校内选拨考试。语言未符合专业入学要求的学生赴美后需参加湘尼州立大学的语言学习，费用自理。</w:t>
      </w:r>
    </w:p>
    <w:p w:rsidR="00620BC0" w:rsidRPr="00620BC0" w:rsidRDefault="00620BC0" w:rsidP="00620BC0">
      <w:pPr>
        <w:widowControl/>
        <w:shd w:val="clear" w:color="auto" w:fill="FFFFFF"/>
        <w:spacing w:line="495" w:lineRule="atLeast"/>
        <w:ind w:left="300" w:right="150"/>
        <w:jc w:val="left"/>
        <w:rPr>
          <w:rFonts w:ascii="宋体" w:eastAsia="宋体" w:hAnsi="宋体" w:cs="宋体"/>
          <w:color w:val="333333"/>
          <w:kern w:val="0"/>
          <w:sz w:val="18"/>
          <w:szCs w:val="18"/>
        </w:rPr>
      </w:pPr>
      <w:r w:rsidRPr="00620BC0">
        <w:rPr>
          <w:rFonts w:ascii="仿宋" w:eastAsia="仿宋" w:hAnsi="仿宋" w:cs="宋体" w:hint="eastAsia"/>
          <w:color w:val="333333"/>
          <w:kern w:val="0"/>
          <w:sz w:val="24"/>
          <w:szCs w:val="24"/>
        </w:rPr>
        <w:t>四、相关费用</w:t>
      </w:r>
      <w:r w:rsidRPr="00620BC0">
        <w:rPr>
          <w:rFonts w:ascii="仿宋" w:eastAsia="仿宋" w:hAnsi="仿宋" w:cs="宋体" w:hint="eastAsia"/>
          <w:color w:val="333333"/>
          <w:kern w:val="0"/>
          <w:sz w:val="24"/>
          <w:szCs w:val="24"/>
        </w:rPr>
        <w:br/>
        <w:t>1. 自行承担相应的学费、住宿费、书杂费、膳食、保险、交通费及其他个</w:t>
      </w:r>
      <w:r w:rsidRPr="00620BC0">
        <w:rPr>
          <w:rFonts w:ascii="仿宋" w:eastAsia="仿宋" w:hAnsi="仿宋" w:cs="宋体" w:hint="eastAsia"/>
          <w:color w:val="333333"/>
          <w:kern w:val="0"/>
          <w:sz w:val="24"/>
          <w:szCs w:val="24"/>
        </w:rPr>
        <w:lastRenderedPageBreak/>
        <w:t>人开销等，具体费用根据个人消费而又不同。下表费用为一学期的参考费用，我校访问学生按out of state</w:t>
      </w:r>
      <w:r w:rsidR="00AD3E48">
        <w:rPr>
          <w:rFonts w:ascii="仿宋" w:eastAsia="仿宋" w:hAnsi="仿宋" w:cs="宋体" w:hint="eastAsia"/>
          <w:color w:val="333333"/>
          <w:kern w:val="0"/>
          <w:sz w:val="24"/>
          <w:szCs w:val="24"/>
        </w:rPr>
        <w:t>的标准收费。费用标准仅供参考。</w:t>
      </w:r>
    </w:p>
    <w:p w:rsidR="00620BC0" w:rsidRPr="00620BC0" w:rsidRDefault="00620BC0" w:rsidP="00620BC0">
      <w:pPr>
        <w:widowControl/>
        <w:shd w:val="clear" w:color="auto" w:fill="FFFFFF"/>
        <w:spacing w:line="360"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Shawnee State University-Student Cost of Attendance for Full-time</w:t>
      </w:r>
      <w:r w:rsidRPr="00620BC0">
        <w:rPr>
          <w:rFonts w:ascii="仿宋" w:eastAsia="仿宋" w:hAnsi="仿宋" w:cs="宋体" w:hint="eastAsia"/>
          <w:color w:val="333333"/>
          <w:kern w:val="0"/>
          <w:szCs w:val="21"/>
        </w:rPr>
        <w:br/>
        <w:t>Enrollment for 2016-17</w:t>
      </w:r>
    </w:p>
    <w:tbl>
      <w:tblPr>
        <w:tblW w:w="7920" w:type="dxa"/>
        <w:tblCellSpacing w:w="15" w:type="dxa"/>
        <w:shd w:val="clear" w:color="auto" w:fill="FFFFFF"/>
        <w:tblCellMar>
          <w:left w:w="0" w:type="dxa"/>
          <w:right w:w="0" w:type="dxa"/>
        </w:tblCellMar>
        <w:tblLook w:val="04A0" w:firstRow="1" w:lastRow="0" w:firstColumn="1" w:lastColumn="0" w:noHBand="0" w:noVBand="1"/>
      </w:tblPr>
      <w:tblGrid>
        <w:gridCol w:w="4289"/>
        <w:gridCol w:w="3631"/>
      </w:tblGrid>
      <w:tr w:rsidR="00620BC0" w:rsidRPr="00620BC0" w:rsidTr="00620BC0">
        <w:trPr>
          <w:trHeight w:val="195"/>
          <w:tblCellSpacing w:w="15" w:type="dxa"/>
        </w:trPr>
        <w:tc>
          <w:tcPr>
            <w:tcW w:w="7920" w:type="dxa"/>
            <w:gridSpan w:val="2"/>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Out of State Fees – Full-time 12-18 credit hours</w:t>
            </w:r>
            <w:r w:rsidRPr="00620BC0">
              <w:rPr>
                <w:rFonts w:ascii="Calibri" w:eastAsia="仿宋" w:hAnsi="Calibri" w:cs="Calibri"/>
                <w:color w:val="333333"/>
                <w:kern w:val="0"/>
                <w:szCs w:val="21"/>
              </w:rPr>
              <w:t> </w:t>
            </w:r>
            <w:r w:rsidRPr="00620BC0">
              <w:rPr>
                <w:rFonts w:ascii="仿宋" w:eastAsia="仿宋" w:hAnsi="仿宋" w:cs="宋体" w:hint="eastAsia"/>
                <w:color w:val="333333"/>
                <w:kern w:val="0"/>
                <w:szCs w:val="21"/>
              </w:rPr>
              <w:t>per semester</w:t>
            </w:r>
          </w:p>
        </w:tc>
      </w:tr>
      <w:tr w:rsidR="00620BC0" w:rsidRPr="00620BC0" w:rsidTr="00620BC0">
        <w:trPr>
          <w:trHeight w:val="285"/>
          <w:tblCellSpacing w:w="15" w:type="dxa"/>
        </w:trPr>
        <w:tc>
          <w:tcPr>
            <w:tcW w:w="429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hd w:val="clear" w:color="auto" w:fill="FFFFFF"/>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Instructional Fee</w:t>
            </w:r>
          </w:p>
        </w:tc>
        <w:tc>
          <w:tcPr>
            <w:tcW w:w="363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3,125.40</w:t>
            </w:r>
          </w:p>
        </w:tc>
      </w:tr>
      <w:tr w:rsidR="00620BC0" w:rsidRPr="00620BC0" w:rsidTr="00620BC0">
        <w:trPr>
          <w:trHeight w:val="60"/>
          <w:tblCellSpacing w:w="15" w:type="dxa"/>
        </w:trPr>
        <w:tc>
          <w:tcPr>
            <w:tcW w:w="429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hd w:val="clear" w:color="auto" w:fill="FFFFFF"/>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General Fee</w:t>
            </w:r>
          </w:p>
        </w:tc>
        <w:tc>
          <w:tcPr>
            <w:tcW w:w="363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344.40</w:t>
            </w:r>
          </w:p>
        </w:tc>
      </w:tr>
      <w:tr w:rsidR="00620BC0" w:rsidRPr="00620BC0" w:rsidTr="00620BC0">
        <w:trPr>
          <w:trHeight w:val="60"/>
          <w:tblCellSpacing w:w="15" w:type="dxa"/>
        </w:trPr>
        <w:tc>
          <w:tcPr>
            <w:tcW w:w="429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hd w:val="clear" w:color="auto" w:fill="FFFFFF"/>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Technology Fee</w:t>
            </w:r>
          </w:p>
        </w:tc>
        <w:tc>
          <w:tcPr>
            <w:tcW w:w="363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62.28</w:t>
            </w:r>
          </w:p>
        </w:tc>
      </w:tr>
      <w:tr w:rsidR="00620BC0" w:rsidRPr="00620BC0" w:rsidTr="00620BC0">
        <w:trPr>
          <w:trHeight w:val="60"/>
          <w:tblCellSpacing w:w="15" w:type="dxa"/>
        </w:trPr>
        <w:tc>
          <w:tcPr>
            <w:tcW w:w="429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hd w:val="clear" w:color="auto" w:fill="FFFFFF"/>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Out of State Fee</w:t>
            </w:r>
          </w:p>
        </w:tc>
        <w:tc>
          <w:tcPr>
            <w:tcW w:w="363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2，833.32</w:t>
            </w:r>
          </w:p>
        </w:tc>
      </w:tr>
      <w:tr w:rsidR="00620BC0" w:rsidRPr="00620BC0" w:rsidTr="00620BC0">
        <w:trPr>
          <w:trHeight w:val="270"/>
          <w:tblCellSpacing w:w="15" w:type="dxa"/>
        </w:trPr>
        <w:tc>
          <w:tcPr>
            <w:tcW w:w="429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hd w:val="clear" w:color="auto" w:fill="FFFFFF"/>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Total Tuition Fees – Out of State</w:t>
            </w:r>
          </w:p>
        </w:tc>
        <w:tc>
          <w:tcPr>
            <w:tcW w:w="363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6,365.4</w:t>
            </w:r>
          </w:p>
        </w:tc>
      </w:tr>
      <w:tr w:rsidR="00620BC0" w:rsidRPr="00620BC0" w:rsidTr="00620BC0">
        <w:trPr>
          <w:trHeight w:val="270"/>
          <w:tblCellSpacing w:w="15" w:type="dxa"/>
        </w:trPr>
        <w:tc>
          <w:tcPr>
            <w:tcW w:w="429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hd w:val="clear" w:color="auto" w:fill="FFFFFF"/>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Housing per semester</w:t>
            </w:r>
          </w:p>
        </w:tc>
        <w:tc>
          <w:tcPr>
            <w:tcW w:w="363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$1,943-$3,622</w:t>
            </w:r>
          </w:p>
        </w:tc>
      </w:tr>
      <w:tr w:rsidR="00620BC0" w:rsidRPr="00620BC0" w:rsidTr="00620BC0">
        <w:trPr>
          <w:trHeight w:val="270"/>
          <w:tblCellSpacing w:w="15" w:type="dxa"/>
        </w:trPr>
        <w:tc>
          <w:tcPr>
            <w:tcW w:w="429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hd w:val="clear" w:color="auto" w:fill="FFFFFF"/>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Meals Plan per semester</w:t>
            </w:r>
          </w:p>
        </w:tc>
        <w:tc>
          <w:tcPr>
            <w:tcW w:w="363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$1,560-$1,817</w:t>
            </w:r>
          </w:p>
        </w:tc>
      </w:tr>
      <w:tr w:rsidR="00620BC0" w:rsidRPr="00620BC0" w:rsidTr="00620BC0">
        <w:trPr>
          <w:trHeight w:val="150"/>
          <w:tblCellSpacing w:w="15" w:type="dxa"/>
        </w:trPr>
        <w:tc>
          <w:tcPr>
            <w:tcW w:w="429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hd w:val="clear" w:color="auto" w:fill="FFFFFF"/>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Books and Supplies per semester</w:t>
            </w:r>
          </w:p>
        </w:tc>
        <w:tc>
          <w:tcPr>
            <w:tcW w:w="3630" w:type="dxa"/>
            <w:tcBorders>
              <w:top w:val="nil"/>
              <w:left w:val="nil"/>
              <w:bottom w:val="nil"/>
              <w:right w:val="nil"/>
            </w:tcBorders>
            <w:shd w:val="clear" w:color="auto" w:fill="FFFFFF"/>
            <w:tcMar>
              <w:top w:w="0" w:type="dxa"/>
              <w:left w:w="105" w:type="dxa"/>
              <w:bottom w:w="0" w:type="dxa"/>
              <w:right w:w="105" w:type="dxa"/>
            </w:tcMar>
            <w:hideMark/>
          </w:tcPr>
          <w:p w:rsidR="00620BC0" w:rsidRPr="00620BC0" w:rsidRDefault="00620BC0" w:rsidP="00620BC0">
            <w:pPr>
              <w:widowControl/>
              <w:spacing w:line="195" w:lineRule="atLeast"/>
              <w:ind w:left="300" w:right="150"/>
              <w:jc w:val="center"/>
              <w:rPr>
                <w:rFonts w:ascii="宋体" w:eastAsia="宋体" w:hAnsi="宋体" w:cs="宋体"/>
                <w:color w:val="333333"/>
                <w:kern w:val="0"/>
                <w:sz w:val="18"/>
                <w:szCs w:val="18"/>
              </w:rPr>
            </w:pPr>
            <w:r w:rsidRPr="00620BC0">
              <w:rPr>
                <w:rFonts w:ascii="仿宋" w:eastAsia="仿宋" w:hAnsi="仿宋" w:cs="宋体" w:hint="eastAsia"/>
                <w:color w:val="333333"/>
                <w:kern w:val="0"/>
                <w:szCs w:val="21"/>
              </w:rPr>
              <w:t>$720</w:t>
            </w:r>
          </w:p>
        </w:tc>
      </w:tr>
    </w:tbl>
    <w:p w:rsidR="00620BC0" w:rsidRPr="00620BC0" w:rsidRDefault="00620BC0" w:rsidP="00620BC0">
      <w:pPr>
        <w:widowControl/>
        <w:shd w:val="clear" w:color="auto" w:fill="FFFFFF"/>
        <w:spacing w:line="495" w:lineRule="atLeast"/>
        <w:ind w:left="300" w:right="150"/>
        <w:jc w:val="left"/>
        <w:rPr>
          <w:rFonts w:ascii="宋体" w:eastAsia="宋体" w:hAnsi="宋体" w:cs="宋体"/>
          <w:color w:val="333333"/>
          <w:kern w:val="0"/>
          <w:sz w:val="18"/>
          <w:szCs w:val="18"/>
        </w:rPr>
      </w:pPr>
      <w:r w:rsidRPr="00620BC0">
        <w:rPr>
          <w:rFonts w:ascii="仿宋" w:eastAsia="仿宋" w:hAnsi="仿宋" w:cs="宋体" w:hint="eastAsia"/>
          <w:color w:val="333333"/>
          <w:kern w:val="0"/>
          <w:sz w:val="24"/>
          <w:szCs w:val="24"/>
        </w:rPr>
        <w:t>2.</w:t>
      </w:r>
      <w:r w:rsidRPr="00620BC0">
        <w:rPr>
          <w:rFonts w:ascii="Calibri" w:eastAsia="仿宋" w:hAnsi="Calibri" w:cs="Calibri"/>
          <w:color w:val="333333"/>
          <w:kern w:val="0"/>
          <w:szCs w:val="21"/>
        </w:rPr>
        <w:t> </w:t>
      </w:r>
      <w:r w:rsidRPr="00620BC0">
        <w:rPr>
          <w:rFonts w:ascii="仿宋" w:eastAsia="仿宋" w:hAnsi="仿宋" w:cs="宋体" w:hint="eastAsia"/>
          <w:color w:val="333333"/>
          <w:kern w:val="0"/>
          <w:sz w:val="24"/>
          <w:szCs w:val="24"/>
        </w:rPr>
        <w:t>学生需要缴纳SSU申请费美金50元，学生获得SSU录取后需缴纳美国学生系统登记费SEVIS美金180元以及美国学生签证费美金160元。以上费用不管签证是否通过，均不退还。</w:t>
      </w:r>
    </w:p>
    <w:p w:rsidR="00620BC0" w:rsidRPr="00620BC0" w:rsidRDefault="00620BC0" w:rsidP="00620BC0">
      <w:pPr>
        <w:widowControl/>
        <w:shd w:val="clear" w:color="auto" w:fill="FFFFFF"/>
        <w:spacing w:line="495" w:lineRule="atLeast"/>
        <w:ind w:left="300" w:right="150"/>
        <w:jc w:val="left"/>
        <w:rPr>
          <w:rFonts w:ascii="宋体" w:eastAsia="宋体" w:hAnsi="宋体" w:cs="宋体"/>
          <w:color w:val="333333"/>
          <w:kern w:val="0"/>
          <w:sz w:val="18"/>
          <w:szCs w:val="18"/>
        </w:rPr>
      </w:pPr>
      <w:r w:rsidRPr="00620BC0">
        <w:rPr>
          <w:rFonts w:ascii="仿宋" w:eastAsia="仿宋" w:hAnsi="仿宋" w:cs="宋体" w:hint="eastAsia"/>
          <w:color w:val="333333"/>
          <w:kern w:val="0"/>
          <w:sz w:val="24"/>
          <w:szCs w:val="24"/>
        </w:rPr>
        <w:t>3.</w:t>
      </w:r>
      <w:r w:rsidRPr="00620BC0">
        <w:rPr>
          <w:rFonts w:ascii="Calibri" w:eastAsia="仿宋" w:hAnsi="Calibri" w:cs="Calibri"/>
          <w:color w:val="333333"/>
          <w:kern w:val="0"/>
          <w:sz w:val="24"/>
          <w:szCs w:val="24"/>
        </w:rPr>
        <w:t> </w:t>
      </w:r>
      <w:r w:rsidRPr="00620BC0">
        <w:rPr>
          <w:rFonts w:ascii="仿宋" w:eastAsia="仿宋" w:hAnsi="仿宋" w:cs="宋体" w:hint="eastAsia"/>
          <w:color w:val="333333"/>
          <w:kern w:val="0"/>
          <w:sz w:val="24"/>
          <w:szCs w:val="24"/>
        </w:rPr>
        <w:t>根据申请入学和签证要求，学生在入选后须冻结资金约18-20万人民币3个月，学生家庭须准备必要的流动资金人民币数万元，在该冻结资金解冻前用于签证申请、购买机票、体检和注射疫苗、购买保险、预付学费和住宿费等开销。</w:t>
      </w:r>
    </w:p>
    <w:p w:rsidR="00620BC0" w:rsidRPr="00B964D3" w:rsidRDefault="00620BC0" w:rsidP="00620BC0">
      <w:pPr>
        <w:widowControl/>
        <w:shd w:val="clear" w:color="auto" w:fill="FFFFFF"/>
        <w:spacing w:line="495" w:lineRule="atLeast"/>
        <w:ind w:left="300" w:right="150"/>
        <w:jc w:val="left"/>
        <w:rPr>
          <w:rFonts w:ascii="仿宋" w:eastAsia="仿宋" w:hAnsi="仿宋" w:cs="宋体"/>
          <w:color w:val="333333"/>
          <w:kern w:val="0"/>
          <w:sz w:val="24"/>
          <w:szCs w:val="24"/>
        </w:rPr>
      </w:pPr>
      <w:r w:rsidRPr="00620BC0">
        <w:rPr>
          <w:rFonts w:ascii="仿宋" w:eastAsia="仿宋" w:hAnsi="仿宋" w:cs="宋体" w:hint="eastAsia"/>
          <w:color w:val="333333"/>
          <w:kern w:val="0"/>
          <w:sz w:val="24"/>
          <w:szCs w:val="24"/>
        </w:rPr>
        <w:t>4．学生赴美学习期间如期正常缴纳华师的学费。</w:t>
      </w:r>
      <w:r w:rsidRPr="00B964D3">
        <w:rPr>
          <w:rFonts w:ascii="仿宋" w:eastAsia="仿宋" w:hAnsi="仿宋" w:cs="宋体" w:hint="eastAsia"/>
          <w:color w:val="333333"/>
          <w:kern w:val="0"/>
          <w:sz w:val="24"/>
          <w:szCs w:val="24"/>
        </w:rPr>
        <w:t>华师的住宿应按照宿管</w:t>
      </w:r>
      <w:r w:rsidRPr="00B964D3">
        <w:rPr>
          <w:rFonts w:ascii="仿宋" w:eastAsia="仿宋" w:hAnsi="仿宋" w:cs="宋体"/>
          <w:color w:val="333333"/>
          <w:kern w:val="0"/>
          <w:sz w:val="24"/>
          <w:szCs w:val="24"/>
        </w:rPr>
        <w:t>中心规定办理</w:t>
      </w:r>
      <w:r w:rsidRPr="00B964D3">
        <w:rPr>
          <w:rFonts w:ascii="仿宋" w:eastAsia="仿宋" w:hAnsi="仿宋" w:cs="宋体" w:hint="eastAsia"/>
          <w:color w:val="333333"/>
          <w:kern w:val="0"/>
          <w:sz w:val="24"/>
          <w:szCs w:val="24"/>
        </w:rPr>
        <w:t>退宿手续。</w:t>
      </w:r>
    </w:p>
    <w:p w:rsidR="00960503" w:rsidRDefault="00960503" w:rsidP="00620BC0">
      <w:pPr>
        <w:widowControl/>
        <w:shd w:val="clear" w:color="auto" w:fill="FFFFFF"/>
        <w:spacing w:line="495" w:lineRule="atLeast"/>
        <w:ind w:left="300" w:right="150"/>
        <w:jc w:val="left"/>
        <w:rPr>
          <w:rFonts w:ascii="仿宋" w:eastAsia="仿宋" w:hAnsi="仿宋"/>
          <w:color w:val="333333"/>
        </w:rPr>
      </w:pPr>
    </w:p>
    <w:p w:rsidR="00620BC0" w:rsidRPr="00620BC0" w:rsidRDefault="00620BC0" w:rsidP="00620BC0">
      <w:pPr>
        <w:widowControl/>
        <w:shd w:val="clear" w:color="auto" w:fill="FFFFFF"/>
        <w:spacing w:line="495" w:lineRule="atLeast"/>
        <w:ind w:left="300" w:right="150"/>
        <w:jc w:val="left"/>
        <w:rPr>
          <w:rFonts w:ascii="宋体" w:eastAsia="宋体" w:hAnsi="宋体" w:cs="宋体"/>
          <w:color w:val="333333"/>
          <w:kern w:val="0"/>
          <w:sz w:val="18"/>
          <w:szCs w:val="18"/>
        </w:rPr>
      </w:pPr>
      <w:r w:rsidRPr="00620BC0">
        <w:rPr>
          <w:rFonts w:ascii="仿宋" w:eastAsia="仿宋" w:hAnsi="仿宋" w:cs="宋体" w:hint="eastAsia"/>
          <w:color w:val="333333"/>
          <w:kern w:val="0"/>
          <w:sz w:val="24"/>
          <w:szCs w:val="24"/>
        </w:rPr>
        <w:t>五、</w:t>
      </w:r>
      <w:r w:rsidRPr="00620BC0">
        <w:rPr>
          <w:rFonts w:ascii="Calibri" w:eastAsia="仿宋" w:hAnsi="Calibri" w:cs="Calibri"/>
          <w:color w:val="333333"/>
          <w:kern w:val="0"/>
          <w:sz w:val="24"/>
          <w:szCs w:val="24"/>
        </w:rPr>
        <w:t> </w:t>
      </w:r>
      <w:r w:rsidRPr="00620BC0">
        <w:rPr>
          <w:rFonts w:ascii="仿宋" w:eastAsia="仿宋" w:hAnsi="仿宋" w:cs="宋体" w:hint="eastAsia"/>
          <w:color w:val="333333"/>
          <w:kern w:val="0"/>
          <w:sz w:val="24"/>
          <w:szCs w:val="24"/>
        </w:rPr>
        <w:t>报名所需材料</w:t>
      </w:r>
      <w:r w:rsidRPr="00620BC0">
        <w:rPr>
          <w:rFonts w:ascii="仿宋" w:eastAsia="仿宋" w:hAnsi="仿宋" w:cs="宋体" w:hint="eastAsia"/>
          <w:color w:val="333333"/>
          <w:kern w:val="0"/>
          <w:sz w:val="24"/>
          <w:szCs w:val="24"/>
        </w:rPr>
        <w:br/>
        <w:t>1.</w:t>
      </w:r>
      <w:r w:rsidRPr="00620BC0">
        <w:rPr>
          <w:rFonts w:ascii="Calibri" w:eastAsia="仿宋" w:hAnsi="Calibri" w:cs="Calibri"/>
          <w:color w:val="333333"/>
          <w:kern w:val="0"/>
          <w:sz w:val="24"/>
          <w:szCs w:val="24"/>
        </w:rPr>
        <w:t> </w:t>
      </w:r>
      <w:hyperlink r:id="rId6" w:history="1">
        <w:r w:rsidRPr="00620BC0">
          <w:rPr>
            <w:rFonts w:ascii="仿宋" w:eastAsia="仿宋" w:hAnsi="仿宋" w:cs="宋体" w:hint="eastAsia"/>
            <w:color w:val="990000"/>
            <w:kern w:val="0"/>
            <w:sz w:val="24"/>
            <w:szCs w:val="24"/>
            <w:u w:val="single"/>
          </w:rPr>
          <w:t>华南师范大学境外校际交换生报名表</w:t>
        </w:r>
      </w:hyperlink>
      <w:r w:rsidRPr="00620BC0">
        <w:rPr>
          <w:rFonts w:ascii="仿宋" w:eastAsia="仿宋" w:hAnsi="仿宋" w:cs="宋体" w:hint="eastAsia"/>
          <w:color w:val="333333"/>
          <w:kern w:val="0"/>
          <w:sz w:val="24"/>
          <w:szCs w:val="24"/>
        </w:rPr>
        <w:t>（点击附件下载）。</w:t>
      </w:r>
      <w:r w:rsidRPr="00620BC0">
        <w:rPr>
          <w:rFonts w:ascii="仿宋" w:eastAsia="仿宋" w:hAnsi="仿宋" w:cs="宋体" w:hint="eastAsia"/>
          <w:color w:val="333333"/>
          <w:kern w:val="0"/>
          <w:sz w:val="24"/>
          <w:szCs w:val="24"/>
        </w:rPr>
        <w:br/>
        <w:t>2. 加盖公章的成绩单原件（中英文）。</w:t>
      </w:r>
      <w:r w:rsidRPr="00620BC0">
        <w:rPr>
          <w:rFonts w:ascii="仿宋" w:eastAsia="仿宋" w:hAnsi="仿宋" w:cs="宋体" w:hint="eastAsia"/>
          <w:color w:val="333333"/>
          <w:kern w:val="0"/>
          <w:sz w:val="24"/>
          <w:szCs w:val="24"/>
        </w:rPr>
        <w:br/>
      </w:r>
      <w:r w:rsidR="00B964D3">
        <w:rPr>
          <w:rFonts w:ascii="仿宋" w:eastAsia="仿宋" w:hAnsi="仿宋" w:cs="宋体"/>
          <w:color w:val="333333"/>
          <w:kern w:val="0"/>
          <w:sz w:val="24"/>
          <w:szCs w:val="24"/>
        </w:rPr>
        <w:t>3</w:t>
      </w:r>
      <w:r w:rsidRPr="00620BC0">
        <w:rPr>
          <w:rFonts w:ascii="仿宋" w:eastAsia="仿宋" w:hAnsi="仿宋" w:cs="宋体" w:hint="eastAsia"/>
          <w:color w:val="333333"/>
          <w:kern w:val="0"/>
          <w:sz w:val="24"/>
          <w:szCs w:val="24"/>
        </w:rPr>
        <w:t>. 英语成绩证明复印件（大学四六级、托福或雅思，如没有参加过以上考试则无需提交）。</w:t>
      </w:r>
      <w:r w:rsidR="00B964D3">
        <w:rPr>
          <w:rFonts w:ascii="仿宋" w:eastAsia="仿宋" w:hAnsi="仿宋" w:cs="宋体" w:hint="eastAsia"/>
          <w:color w:val="333333"/>
          <w:kern w:val="0"/>
          <w:sz w:val="24"/>
          <w:szCs w:val="24"/>
        </w:rPr>
        <w:br/>
        <w:t>4</w:t>
      </w:r>
      <w:r w:rsidRPr="00620BC0">
        <w:rPr>
          <w:rFonts w:ascii="仿宋" w:eastAsia="仿宋" w:hAnsi="仿宋" w:cs="宋体" w:hint="eastAsia"/>
          <w:color w:val="333333"/>
          <w:kern w:val="0"/>
          <w:sz w:val="24"/>
          <w:szCs w:val="24"/>
        </w:rPr>
        <w:t>. 其它有助于推荐自己的材料。</w:t>
      </w:r>
      <w:r w:rsidRPr="00620BC0">
        <w:rPr>
          <w:rFonts w:ascii="仿宋" w:eastAsia="仿宋" w:hAnsi="仿宋" w:cs="宋体" w:hint="eastAsia"/>
          <w:color w:val="333333"/>
          <w:kern w:val="0"/>
          <w:sz w:val="24"/>
          <w:szCs w:val="24"/>
        </w:rPr>
        <w:br/>
      </w:r>
      <w:r w:rsidRPr="00620BC0">
        <w:rPr>
          <w:rFonts w:ascii="Calibri" w:eastAsia="仿宋" w:hAnsi="Calibri" w:cs="Calibri"/>
          <w:color w:val="333333"/>
          <w:kern w:val="0"/>
          <w:sz w:val="24"/>
          <w:szCs w:val="24"/>
        </w:rPr>
        <w:t>    </w:t>
      </w:r>
      <w:r w:rsidRPr="00620BC0">
        <w:rPr>
          <w:rFonts w:ascii="仿宋" w:eastAsia="仿宋" w:hAnsi="仿宋" w:cs="宋体" w:hint="eastAsia"/>
          <w:color w:val="333333"/>
          <w:kern w:val="0"/>
          <w:sz w:val="24"/>
          <w:szCs w:val="24"/>
        </w:rPr>
        <w:t>请有兴趣参加此项目的学生于</w:t>
      </w:r>
      <w:r w:rsidR="00B964D3" w:rsidRPr="00976CC9">
        <w:rPr>
          <w:rFonts w:ascii="仿宋" w:eastAsia="仿宋" w:hAnsi="仿宋" w:cs="宋体" w:hint="eastAsia"/>
          <w:b/>
          <w:kern w:val="0"/>
          <w:sz w:val="24"/>
          <w:szCs w:val="24"/>
          <w:u w:val="single"/>
        </w:rPr>
        <w:t>3月1</w:t>
      </w:r>
      <w:r w:rsidR="00502BC0">
        <w:rPr>
          <w:rFonts w:ascii="仿宋" w:eastAsia="仿宋" w:hAnsi="仿宋" w:cs="宋体"/>
          <w:b/>
          <w:kern w:val="0"/>
          <w:sz w:val="24"/>
          <w:szCs w:val="24"/>
          <w:u w:val="single"/>
        </w:rPr>
        <w:t>9</w:t>
      </w:r>
      <w:r w:rsidR="007957E8">
        <w:rPr>
          <w:rFonts w:ascii="仿宋" w:eastAsia="仿宋" w:hAnsi="仿宋" w:cs="宋体" w:hint="eastAsia"/>
          <w:b/>
          <w:kern w:val="0"/>
          <w:sz w:val="24"/>
          <w:szCs w:val="24"/>
          <w:u w:val="single"/>
        </w:rPr>
        <w:t>日（星期</w:t>
      </w:r>
      <w:r w:rsidR="00502BC0">
        <w:rPr>
          <w:rFonts w:ascii="仿宋" w:eastAsia="仿宋" w:hAnsi="仿宋" w:cs="宋体" w:hint="eastAsia"/>
          <w:b/>
          <w:kern w:val="0"/>
          <w:sz w:val="24"/>
          <w:szCs w:val="24"/>
          <w:u w:val="single"/>
        </w:rPr>
        <w:t>一</w:t>
      </w:r>
      <w:r w:rsidR="00B964D3">
        <w:rPr>
          <w:rFonts w:ascii="仿宋" w:eastAsia="仿宋" w:hAnsi="仿宋" w:cs="宋体" w:hint="eastAsia"/>
          <w:b/>
          <w:kern w:val="0"/>
          <w:sz w:val="24"/>
          <w:szCs w:val="24"/>
          <w:u w:val="single"/>
        </w:rPr>
        <w:t>）下午</w:t>
      </w:r>
      <w:r w:rsidR="00502BC0">
        <w:rPr>
          <w:rFonts w:ascii="仿宋" w:eastAsia="仿宋" w:hAnsi="仿宋" w:cs="宋体" w:hint="eastAsia"/>
          <w:b/>
          <w:kern w:val="0"/>
          <w:sz w:val="24"/>
          <w:szCs w:val="24"/>
          <w:u w:val="single"/>
        </w:rPr>
        <w:t>1</w:t>
      </w:r>
      <w:r w:rsidR="00502BC0">
        <w:rPr>
          <w:rFonts w:ascii="仿宋" w:eastAsia="仿宋" w:hAnsi="仿宋" w:cs="宋体"/>
          <w:b/>
          <w:kern w:val="0"/>
          <w:sz w:val="24"/>
          <w:szCs w:val="24"/>
          <w:u w:val="single"/>
        </w:rPr>
        <w:t>6</w:t>
      </w:r>
      <w:r w:rsidR="00502BC0">
        <w:rPr>
          <w:rFonts w:ascii="仿宋" w:eastAsia="仿宋" w:hAnsi="仿宋" w:cs="宋体" w:hint="eastAsia"/>
          <w:b/>
          <w:kern w:val="0"/>
          <w:sz w:val="24"/>
          <w:szCs w:val="24"/>
          <w:u w:val="single"/>
        </w:rPr>
        <w:t>:00</w:t>
      </w:r>
      <w:r w:rsidRPr="00B964D3">
        <w:rPr>
          <w:rFonts w:ascii="仿宋" w:eastAsia="仿宋" w:hAnsi="仿宋" w:cs="宋体" w:hint="eastAsia"/>
          <w:b/>
          <w:kern w:val="0"/>
          <w:sz w:val="24"/>
          <w:szCs w:val="24"/>
          <w:u w:val="single"/>
        </w:rPr>
        <w:t>前</w:t>
      </w:r>
      <w:r w:rsidRPr="00620BC0">
        <w:rPr>
          <w:rFonts w:ascii="仿宋" w:eastAsia="仿宋" w:hAnsi="仿宋" w:cs="宋体" w:hint="eastAsia"/>
          <w:color w:val="333333"/>
          <w:kern w:val="0"/>
          <w:sz w:val="24"/>
          <w:szCs w:val="24"/>
        </w:rPr>
        <w:t>到石牌校区行政楼国际交流合作处615室报名填写有关信息并同时提交报名所需</w:t>
      </w:r>
      <w:r w:rsidRPr="00620BC0">
        <w:rPr>
          <w:rFonts w:ascii="仿宋" w:eastAsia="仿宋" w:hAnsi="仿宋" w:cs="宋体" w:hint="eastAsia"/>
          <w:color w:val="333333"/>
          <w:kern w:val="0"/>
          <w:sz w:val="24"/>
          <w:szCs w:val="24"/>
        </w:rPr>
        <w:lastRenderedPageBreak/>
        <w:t>材料（</w:t>
      </w:r>
      <w:hyperlink r:id="rId7" w:history="1">
        <w:r w:rsidRPr="00620BC0">
          <w:rPr>
            <w:rFonts w:ascii="仿宋" w:eastAsia="仿宋" w:hAnsi="仿宋" w:cs="宋体" w:hint="eastAsia"/>
            <w:color w:val="000000"/>
            <w:kern w:val="0"/>
            <w:sz w:val="24"/>
            <w:szCs w:val="24"/>
            <w:u w:val="single"/>
          </w:rPr>
          <w:t>大学城校区和南海校区的同学请把报名所需材料扫描发送到scnuinternational@126.com</w:t>
        </w:r>
      </w:hyperlink>
      <w:r w:rsidRPr="00620BC0">
        <w:rPr>
          <w:rFonts w:ascii="仿宋" w:eastAsia="仿宋" w:hAnsi="仿宋" w:cs="宋体" w:hint="eastAsia"/>
          <w:color w:val="333333"/>
          <w:kern w:val="0"/>
          <w:sz w:val="24"/>
          <w:szCs w:val="24"/>
        </w:rPr>
        <w:t>,邮件主题格式“学院+年级+专业+姓名+报名参加项目名称”）。</w:t>
      </w:r>
      <w:r w:rsidR="000847DF">
        <w:rPr>
          <w:rFonts w:ascii="仿宋" w:eastAsia="仿宋" w:hAnsi="仿宋" w:cs="宋体" w:hint="eastAsia"/>
          <w:b/>
          <w:bCs/>
          <w:color w:val="333333"/>
          <w:kern w:val="0"/>
          <w:sz w:val="24"/>
          <w:szCs w:val="24"/>
          <w:u w:val="single"/>
        </w:rPr>
        <w:t>我处将于报名结束后根据报名情况组织选拔考试</w:t>
      </w:r>
      <w:r w:rsidRPr="00620BC0">
        <w:rPr>
          <w:rFonts w:ascii="仿宋" w:eastAsia="仿宋" w:hAnsi="仿宋" w:cs="宋体" w:hint="eastAsia"/>
          <w:b/>
          <w:bCs/>
          <w:color w:val="333333"/>
          <w:kern w:val="0"/>
          <w:sz w:val="24"/>
          <w:szCs w:val="24"/>
          <w:u w:val="single"/>
        </w:rPr>
        <w:t>，</w:t>
      </w:r>
      <w:r w:rsidR="00F35E35" w:rsidRPr="00976CC9">
        <w:rPr>
          <w:rFonts w:ascii="仿宋" w:eastAsia="仿宋" w:hAnsi="仿宋" w:cs="宋体" w:hint="eastAsia"/>
          <w:b/>
          <w:bCs/>
          <w:color w:val="333333"/>
          <w:kern w:val="0"/>
          <w:sz w:val="24"/>
          <w:szCs w:val="24"/>
          <w:u w:val="single"/>
        </w:rPr>
        <w:t>时间初定于3月2</w:t>
      </w:r>
      <w:r w:rsidR="00F35E35" w:rsidRPr="00976CC9">
        <w:rPr>
          <w:rFonts w:ascii="仿宋" w:eastAsia="仿宋" w:hAnsi="仿宋" w:cs="宋体"/>
          <w:b/>
          <w:bCs/>
          <w:color w:val="333333"/>
          <w:kern w:val="0"/>
          <w:sz w:val="24"/>
          <w:szCs w:val="24"/>
          <w:u w:val="single"/>
        </w:rPr>
        <w:t>2</w:t>
      </w:r>
      <w:r w:rsidR="00F35E35" w:rsidRPr="00976CC9">
        <w:rPr>
          <w:rFonts w:ascii="仿宋" w:eastAsia="仿宋" w:hAnsi="仿宋" w:cs="宋体" w:hint="eastAsia"/>
          <w:b/>
          <w:bCs/>
          <w:color w:val="333333"/>
          <w:kern w:val="0"/>
          <w:sz w:val="24"/>
          <w:szCs w:val="24"/>
          <w:u w:val="single"/>
        </w:rPr>
        <w:t>日（周四）下午</w:t>
      </w:r>
      <w:r w:rsidR="00F35E35">
        <w:rPr>
          <w:rFonts w:ascii="仿宋" w:eastAsia="仿宋" w:hAnsi="仿宋" w:cs="宋体" w:hint="eastAsia"/>
          <w:b/>
          <w:bCs/>
          <w:color w:val="333333"/>
          <w:kern w:val="0"/>
          <w:sz w:val="24"/>
          <w:szCs w:val="24"/>
          <w:u w:val="single"/>
        </w:rPr>
        <w:t>，</w:t>
      </w:r>
      <w:r w:rsidRPr="00620BC0">
        <w:rPr>
          <w:rFonts w:ascii="仿宋" w:eastAsia="仿宋" w:hAnsi="仿宋" w:cs="宋体" w:hint="eastAsia"/>
          <w:b/>
          <w:bCs/>
          <w:color w:val="333333"/>
          <w:kern w:val="0"/>
          <w:sz w:val="24"/>
          <w:szCs w:val="24"/>
          <w:u w:val="single"/>
        </w:rPr>
        <w:t>具体间和地点另行网上通知，请密切留意学校主页上的部处通知、国际交流合作处主页和微信公众号（华南师大国际交流SCNUGLOBAL）的通知。未按时参加选拨考试的视为自动弃权，不再另行安排考试。</w:t>
      </w:r>
    </w:p>
    <w:p w:rsidR="00620BC0" w:rsidRPr="00620BC0" w:rsidRDefault="00620BC0" w:rsidP="00620BC0">
      <w:pPr>
        <w:widowControl/>
        <w:shd w:val="clear" w:color="auto" w:fill="FFFFFF"/>
        <w:spacing w:line="495" w:lineRule="atLeast"/>
        <w:ind w:left="300" w:right="150" w:firstLine="480"/>
        <w:jc w:val="left"/>
        <w:rPr>
          <w:rFonts w:ascii="宋体" w:eastAsia="宋体" w:hAnsi="宋体" w:cs="宋体"/>
          <w:color w:val="333333"/>
          <w:kern w:val="0"/>
          <w:sz w:val="18"/>
          <w:szCs w:val="18"/>
        </w:rPr>
      </w:pPr>
      <w:r w:rsidRPr="00620BC0">
        <w:rPr>
          <w:rFonts w:ascii="仿宋" w:eastAsia="仿宋" w:hAnsi="仿宋" w:cs="宋体" w:hint="eastAsia"/>
          <w:color w:val="333333"/>
          <w:kern w:val="0"/>
          <w:sz w:val="24"/>
          <w:szCs w:val="24"/>
        </w:rPr>
        <w:t>建议：有兴趣参加此项目的学生，可尽快前往本人户口所在地公安局、广东省出入境办证大厅、广州市公安局天河分局办理个人因私护照（费用自理），详情请咨询学校保卫处户籍管理科。</w:t>
      </w:r>
    </w:p>
    <w:p w:rsidR="009B433F" w:rsidRDefault="009B433F"/>
    <w:p w:rsidR="00550B4D" w:rsidRDefault="00550B4D"/>
    <w:p w:rsidR="00550B4D" w:rsidRDefault="00550B4D" w:rsidP="00550B4D">
      <w:pPr>
        <w:pStyle w:val="a7"/>
        <w:shd w:val="clear" w:color="auto" w:fill="FFFFFF"/>
        <w:spacing w:before="0" w:beforeAutospacing="0" w:after="0" w:afterAutospacing="0" w:line="495" w:lineRule="atLeast"/>
        <w:ind w:left="300" w:right="1080"/>
        <w:jc w:val="right"/>
        <w:rPr>
          <w:color w:val="333333"/>
          <w:sz w:val="18"/>
          <w:szCs w:val="18"/>
        </w:rPr>
      </w:pPr>
      <w:bookmarkStart w:id="0" w:name="_GoBack"/>
      <w:bookmarkEnd w:id="0"/>
      <w:r>
        <w:rPr>
          <w:rFonts w:ascii="Calibri" w:eastAsia="仿宋" w:hAnsi="Calibri" w:cs="Calibri"/>
          <w:color w:val="333333"/>
          <w:sz w:val="30"/>
          <w:szCs w:val="30"/>
        </w:rPr>
        <w:t> </w:t>
      </w:r>
      <w:r>
        <w:rPr>
          <w:rFonts w:ascii="仿宋" w:eastAsia="仿宋" w:hAnsi="仿宋" w:hint="eastAsia"/>
          <w:color w:val="333333"/>
          <w:sz w:val="30"/>
          <w:szCs w:val="30"/>
        </w:rPr>
        <w:t xml:space="preserve"> 国际交流合作处</w:t>
      </w:r>
    </w:p>
    <w:p w:rsidR="00550B4D" w:rsidRDefault="00550B4D" w:rsidP="00550B4D">
      <w:pPr>
        <w:pStyle w:val="a7"/>
        <w:shd w:val="clear" w:color="auto" w:fill="FFFFFF"/>
        <w:spacing w:before="0" w:beforeAutospacing="0" w:after="0" w:afterAutospacing="0" w:line="495" w:lineRule="atLeast"/>
        <w:ind w:left="300" w:right="1050"/>
        <w:jc w:val="right"/>
        <w:rPr>
          <w:color w:val="333333"/>
          <w:sz w:val="18"/>
          <w:szCs w:val="18"/>
        </w:rPr>
      </w:pPr>
      <w:r>
        <w:rPr>
          <w:rFonts w:ascii="仿宋" w:eastAsia="仿宋" w:hAnsi="仿宋" w:hint="eastAsia"/>
          <w:color w:val="333333"/>
          <w:sz w:val="30"/>
          <w:szCs w:val="30"/>
        </w:rPr>
        <w:t>201</w:t>
      </w:r>
      <w:r>
        <w:rPr>
          <w:rFonts w:ascii="仿宋" w:eastAsia="仿宋" w:hAnsi="仿宋"/>
          <w:color w:val="333333"/>
          <w:sz w:val="30"/>
          <w:szCs w:val="30"/>
        </w:rPr>
        <w:t>8</w:t>
      </w:r>
      <w:r>
        <w:rPr>
          <w:rFonts w:ascii="仿宋" w:eastAsia="仿宋" w:hAnsi="仿宋" w:hint="eastAsia"/>
          <w:color w:val="333333"/>
          <w:sz w:val="30"/>
          <w:szCs w:val="30"/>
        </w:rPr>
        <w:t>年3月</w:t>
      </w:r>
      <w:r>
        <w:rPr>
          <w:rFonts w:ascii="仿宋" w:eastAsia="仿宋" w:hAnsi="仿宋"/>
          <w:color w:val="333333"/>
          <w:sz w:val="30"/>
          <w:szCs w:val="30"/>
        </w:rPr>
        <w:t>8</w:t>
      </w:r>
      <w:r>
        <w:rPr>
          <w:rFonts w:ascii="仿宋" w:eastAsia="仿宋" w:hAnsi="仿宋" w:hint="eastAsia"/>
          <w:color w:val="333333"/>
          <w:sz w:val="30"/>
          <w:szCs w:val="30"/>
        </w:rPr>
        <w:t>日</w:t>
      </w:r>
    </w:p>
    <w:p w:rsidR="00550B4D" w:rsidRDefault="00550B4D" w:rsidP="00550B4D"/>
    <w:p w:rsidR="00550B4D" w:rsidRPr="00620BC0" w:rsidRDefault="00550B4D">
      <w:pPr>
        <w:rPr>
          <w:rFonts w:hint="eastAsia"/>
        </w:rPr>
      </w:pPr>
    </w:p>
    <w:sectPr w:rsidR="00550B4D" w:rsidRPr="00620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83E" w:rsidRDefault="00B8583E" w:rsidP="00620BC0">
      <w:r>
        <w:separator/>
      </w:r>
    </w:p>
  </w:endnote>
  <w:endnote w:type="continuationSeparator" w:id="0">
    <w:p w:rsidR="00B8583E" w:rsidRDefault="00B8583E" w:rsidP="0062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83E" w:rsidRDefault="00B8583E" w:rsidP="00620BC0">
      <w:r>
        <w:separator/>
      </w:r>
    </w:p>
  </w:footnote>
  <w:footnote w:type="continuationSeparator" w:id="0">
    <w:p w:rsidR="00B8583E" w:rsidRDefault="00B8583E" w:rsidP="00620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2C"/>
    <w:rsid w:val="00014CD6"/>
    <w:rsid w:val="00065490"/>
    <w:rsid w:val="000847DF"/>
    <w:rsid w:val="0038422C"/>
    <w:rsid w:val="00502BC0"/>
    <w:rsid w:val="00550B4D"/>
    <w:rsid w:val="005F668C"/>
    <w:rsid w:val="0060049E"/>
    <w:rsid w:val="00620BC0"/>
    <w:rsid w:val="00752426"/>
    <w:rsid w:val="007957E8"/>
    <w:rsid w:val="00960503"/>
    <w:rsid w:val="009B433F"/>
    <w:rsid w:val="00AD3E48"/>
    <w:rsid w:val="00B8583E"/>
    <w:rsid w:val="00B964D3"/>
    <w:rsid w:val="00C52072"/>
    <w:rsid w:val="00F35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E213E"/>
  <w15:chartTrackingRefBased/>
  <w15:docId w15:val="{CB7EB95B-1B26-4656-9E56-50C4468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B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0BC0"/>
    <w:rPr>
      <w:sz w:val="18"/>
      <w:szCs w:val="18"/>
    </w:rPr>
  </w:style>
  <w:style w:type="paragraph" w:styleId="a5">
    <w:name w:val="footer"/>
    <w:basedOn w:val="a"/>
    <w:link w:val="a6"/>
    <w:uiPriority w:val="99"/>
    <w:unhideWhenUsed/>
    <w:rsid w:val="00620BC0"/>
    <w:pPr>
      <w:tabs>
        <w:tab w:val="center" w:pos="4153"/>
        <w:tab w:val="right" w:pos="8306"/>
      </w:tabs>
      <w:snapToGrid w:val="0"/>
      <w:jc w:val="left"/>
    </w:pPr>
    <w:rPr>
      <w:sz w:val="18"/>
      <w:szCs w:val="18"/>
    </w:rPr>
  </w:style>
  <w:style w:type="character" w:customStyle="1" w:styleId="a6">
    <w:name w:val="页脚 字符"/>
    <w:basedOn w:val="a0"/>
    <w:link w:val="a5"/>
    <w:uiPriority w:val="99"/>
    <w:rsid w:val="00620BC0"/>
    <w:rPr>
      <w:sz w:val="18"/>
      <w:szCs w:val="18"/>
    </w:rPr>
  </w:style>
  <w:style w:type="paragraph" w:styleId="a7">
    <w:name w:val="Normal (Web)"/>
    <w:basedOn w:val="a"/>
    <w:uiPriority w:val="99"/>
    <w:semiHidden/>
    <w:unhideWhenUsed/>
    <w:rsid w:val="00620BC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20BC0"/>
    <w:rPr>
      <w:b/>
      <w:bCs/>
    </w:rPr>
  </w:style>
  <w:style w:type="character" w:customStyle="1" w:styleId="apple-converted-space">
    <w:name w:val="apple-converted-space"/>
    <w:basedOn w:val="a0"/>
    <w:rsid w:val="00620BC0"/>
  </w:style>
  <w:style w:type="character" w:styleId="a9">
    <w:name w:val="Hyperlink"/>
    <w:basedOn w:val="a0"/>
    <w:uiPriority w:val="99"/>
    <w:semiHidden/>
    <w:unhideWhenUsed/>
    <w:rsid w:val="00620B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5%A4%A7%E5%AD%A6%E5%9F%8E%E6%A0%A1%E5%8C%BA%E5%92%8C%E5%8D%97%E6%B5%B7%E6%A0%A1%E5%8C%BA%E7%9A%84%E5%90%8C%E5%AD%A6%E8%AF%B7%E6%8A%8A%E6%8A%A5%E5%90%8D%E6%89%80%E9%9C%80%E6%9D%90%E6%96%99%E6%89%AB%E6%8F%8F%E5%8F%91%E9%80%81%E5%88%B0scnuinternational@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16.45.200/wsh/html/jiaohuanxiangmu/xiangguanxiazai/2011/0906/290.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黄欣丽</dc:creator>
  <cp:keywords/>
  <dc:description/>
  <cp:lastModifiedBy>黄欣丽</cp:lastModifiedBy>
  <cp:revision>11</cp:revision>
  <dcterms:created xsi:type="dcterms:W3CDTF">2018-02-28T07:04:00Z</dcterms:created>
  <dcterms:modified xsi:type="dcterms:W3CDTF">2018-03-08T03:10:00Z</dcterms:modified>
</cp:coreProperties>
</file>