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default" w:ascii="宋体" w:hAnsi="宋体" w:cs="宋体"/>
          <w:b/>
          <w:color w:val="FF0000"/>
          <w:spacing w:val="40"/>
          <w:sz w:val="28"/>
          <w:szCs w:val="28"/>
          <w:highlight w:val="none"/>
          <w:lang w:val="en-US" w:eastAsia="zh-CN"/>
        </w:rPr>
      </w:pPr>
    </w:p>
    <w:p>
      <w:pPr>
        <w:jc w:val="center"/>
        <w:rPr>
          <w:rFonts w:ascii="宋体" w:hAnsi="宋体" w:cs="宋体"/>
          <w:b/>
          <w:spacing w:val="40"/>
          <w:sz w:val="48"/>
          <w:szCs w:val="48"/>
          <w:highlight w:val="none"/>
        </w:rPr>
      </w:pPr>
    </w:p>
    <w:p>
      <w:pPr>
        <w:jc w:val="center"/>
        <w:rPr>
          <w:rFonts w:ascii="宋体" w:hAnsi="宋体" w:cs="宋体"/>
          <w:b/>
          <w:sz w:val="72"/>
          <w:szCs w:val="72"/>
          <w:highlight w:val="none"/>
        </w:rPr>
      </w:pPr>
      <w:r>
        <w:rPr>
          <w:rFonts w:hint="eastAsia" w:ascii="宋体" w:hAnsi="宋体" w:cs="宋体"/>
          <w:b/>
          <w:spacing w:val="40"/>
          <w:sz w:val="72"/>
          <w:szCs w:val="72"/>
          <w:highlight w:val="none"/>
        </w:rPr>
        <w:t>竞争性磋商文件</w:t>
      </w:r>
    </w:p>
    <w:p>
      <w:pPr>
        <w:rPr>
          <w:rFonts w:ascii="宋体" w:hAnsi="宋体" w:cs="宋体"/>
          <w:highlight w:val="none"/>
        </w:rPr>
      </w:pPr>
    </w:p>
    <w:p>
      <w:pPr>
        <w:rPr>
          <w:rFonts w:ascii="宋体" w:hAnsi="宋体" w:cs="宋体"/>
          <w:sz w:val="52"/>
          <w:highlight w:val="none"/>
        </w:rPr>
      </w:pPr>
    </w:p>
    <w:p>
      <w:pPr>
        <w:rPr>
          <w:rFonts w:ascii="宋体" w:hAnsi="宋体" w:cs="宋体"/>
          <w:sz w:val="52"/>
          <w:highlight w:val="none"/>
        </w:rPr>
      </w:pPr>
    </w:p>
    <w:p>
      <w:pPr>
        <w:rPr>
          <w:rFonts w:ascii="宋体" w:hAnsi="宋体" w:cs="宋体"/>
          <w:sz w:val="52"/>
          <w:highlight w:val="none"/>
        </w:rPr>
      </w:pPr>
    </w:p>
    <w:p>
      <w:pPr>
        <w:spacing w:line="360" w:lineRule="auto"/>
        <w:ind w:left="3282" w:leftChars="798" w:hanging="1606" w:hangingChars="500"/>
        <w:rPr>
          <w:rFonts w:ascii="宋体" w:hAnsi="宋体" w:cs="宋体"/>
          <w:b/>
          <w:bCs/>
          <w:kern w:val="13"/>
          <w:sz w:val="32"/>
          <w:highlight w:val="none"/>
        </w:rPr>
      </w:pPr>
    </w:p>
    <w:p>
      <w:pPr>
        <w:spacing w:line="360" w:lineRule="auto"/>
        <w:ind w:firstLine="1285" w:firstLineChars="400"/>
        <w:rPr>
          <w:rFonts w:hint="eastAsia" w:ascii="宋体" w:hAnsi="宋体" w:eastAsia="宋体" w:cs="宋体"/>
          <w:b/>
          <w:bCs/>
          <w:kern w:val="13"/>
          <w:sz w:val="32"/>
          <w:highlight w:val="none"/>
          <w:lang w:eastAsia="zh-CN"/>
        </w:rPr>
      </w:pPr>
      <w:r>
        <w:rPr>
          <w:rFonts w:hint="eastAsia" w:ascii="宋体" w:hAnsi="宋体" w:cs="宋体"/>
          <w:b/>
          <w:bCs/>
          <w:kern w:val="13"/>
          <w:sz w:val="32"/>
          <w:highlight w:val="none"/>
        </w:rPr>
        <w:t>项目编号：</w:t>
      </w:r>
      <w:r>
        <w:rPr>
          <w:rFonts w:hint="eastAsia" w:ascii="宋体" w:hAnsi="宋体" w:cs="宋体"/>
          <w:b/>
          <w:bCs/>
          <w:kern w:val="13"/>
          <w:sz w:val="32"/>
          <w:highlight w:val="none"/>
          <w:lang w:eastAsia="zh-CN"/>
        </w:rPr>
        <w:t>M440000070700682500</w:t>
      </w:r>
      <w:r>
        <w:rPr>
          <w:rFonts w:hint="eastAsia" w:ascii="宋体" w:hAnsi="宋体" w:cs="宋体"/>
          <w:b/>
          <w:bCs/>
          <w:kern w:val="13"/>
          <w:sz w:val="32"/>
          <w:highlight w:val="none"/>
          <w:lang w:val="en-US" w:eastAsia="zh-CN"/>
        </w:rPr>
        <w:t>2</w:t>
      </w:r>
    </w:p>
    <w:p>
      <w:pPr>
        <w:spacing w:line="360" w:lineRule="auto"/>
        <w:ind w:left="2883" w:leftChars="608" w:hanging="1606" w:hangingChars="500"/>
        <w:rPr>
          <w:rFonts w:hint="eastAsia" w:ascii="宋体" w:hAnsi="宋体" w:eastAsia="宋体" w:cs="宋体"/>
          <w:b/>
          <w:bCs/>
          <w:kern w:val="13"/>
          <w:sz w:val="32"/>
          <w:highlight w:val="none"/>
          <w:lang w:eastAsia="zh-CN"/>
        </w:rPr>
      </w:pPr>
      <w:r>
        <w:rPr>
          <w:rFonts w:hint="eastAsia" w:ascii="宋体" w:hAnsi="宋体" w:cs="宋体"/>
          <w:b/>
          <w:bCs/>
          <w:kern w:val="13"/>
          <w:sz w:val="32"/>
          <w:highlight w:val="none"/>
        </w:rPr>
        <w:t>项目名称：华南师范大学遴选科研耗材电商平台项目</w:t>
      </w:r>
      <w:r>
        <w:rPr>
          <w:rFonts w:hint="eastAsia" w:ascii="宋体" w:hAnsi="宋体" w:cs="宋体"/>
          <w:b/>
          <w:bCs/>
          <w:kern w:val="13"/>
          <w:sz w:val="32"/>
          <w:highlight w:val="none"/>
          <w:lang w:eastAsia="zh-CN"/>
        </w:rPr>
        <w:t>（</w:t>
      </w:r>
      <w:r>
        <w:rPr>
          <w:rFonts w:hint="eastAsia" w:ascii="宋体" w:hAnsi="宋体" w:cs="宋体"/>
          <w:b/>
          <w:bCs/>
          <w:kern w:val="13"/>
          <w:sz w:val="32"/>
          <w:highlight w:val="none"/>
          <w:lang w:val="en-US" w:eastAsia="zh-CN"/>
        </w:rPr>
        <w:t>第二次招标</w:t>
      </w:r>
      <w:r>
        <w:rPr>
          <w:rFonts w:hint="eastAsia" w:ascii="宋体" w:hAnsi="宋体" w:cs="宋体"/>
          <w:b/>
          <w:bCs/>
          <w:kern w:val="13"/>
          <w:sz w:val="32"/>
          <w:highlight w:val="none"/>
          <w:lang w:eastAsia="zh-CN"/>
        </w:rPr>
        <w:t>）</w:t>
      </w:r>
    </w:p>
    <w:p>
      <w:pPr>
        <w:rPr>
          <w:rFonts w:ascii="宋体" w:hAnsi="宋体" w:cs="宋体"/>
          <w:sz w:val="32"/>
          <w:highlight w:val="none"/>
        </w:rPr>
      </w:pPr>
    </w:p>
    <w:p>
      <w:pPr>
        <w:rPr>
          <w:rFonts w:ascii="宋体" w:hAnsi="宋体" w:cs="宋体"/>
          <w:sz w:val="32"/>
          <w:highlight w:val="none"/>
        </w:rPr>
      </w:pPr>
    </w:p>
    <w:p>
      <w:pPr>
        <w:ind w:firstLine="2704" w:firstLineChars="845"/>
        <w:rPr>
          <w:rFonts w:ascii="宋体" w:hAnsi="宋体" w:cs="宋体"/>
          <w:sz w:val="32"/>
          <w:highlight w:val="none"/>
        </w:rPr>
      </w:pPr>
    </w:p>
    <w:p>
      <w:pPr>
        <w:ind w:firstLine="2704" w:firstLineChars="845"/>
        <w:rPr>
          <w:rFonts w:ascii="宋体" w:hAnsi="宋体" w:cs="宋体"/>
          <w:sz w:val="32"/>
          <w:highlight w:val="none"/>
        </w:rPr>
      </w:pPr>
    </w:p>
    <w:p>
      <w:pPr>
        <w:ind w:firstLine="2704" w:firstLineChars="845"/>
        <w:rPr>
          <w:rFonts w:ascii="宋体" w:hAnsi="宋体" w:cs="宋体"/>
          <w:sz w:val="32"/>
          <w:highlight w:val="none"/>
        </w:rPr>
      </w:pPr>
    </w:p>
    <w:p>
      <w:pPr>
        <w:ind w:firstLine="2704" w:firstLineChars="845"/>
        <w:rPr>
          <w:rFonts w:ascii="宋体" w:hAnsi="宋体" w:cs="宋体"/>
          <w:sz w:val="32"/>
          <w:highlight w:val="none"/>
        </w:rPr>
      </w:pPr>
    </w:p>
    <w:p>
      <w:pPr>
        <w:ind w:firstLine="2704" w:firstLineChars="845"/>
        <w:rPr>
          <w:rFonts w:ascii="宋体" w:hAnsi="宋体" w:cs="宋体"/>
          <w:sz w:val="32"/>
          <w:highlight w:val="none"/>
        </w:rPr>
      </w:pPr>
    </w:p>
    <w:p>
      <w:pPr>
        <w:ind w:firstLine="2704" w:firstLineChars="845"/>
        <w:rPr>
          <w:rFonts w:ascii="宋体" w:hAnsi="宋体" w:cs="宋体"/>
          <w:sz w:val="32"/>
          <w:highlight w:val="none"/>
        </w:rPr>
      </w:pPr>
    </w:p>
    <w:p>
      <w:pPr>
        <w:ind w:firstLine="2704" w:firstLineChars="845"/>
        <w:rPr>
          <w:rFonts w:ascii="宋体" w:hAnsi="宋体" w:cs="宋体"/>
          <w:sz w:val="32"/>
          <w:highlight w:val="none"/>
        </w:rPr>
      </w:pPr>
    </w:p>
    <w:p>
      <w:pPr>
        <w:spacing w:line="360" w:lineRule="auto"/>
        <w:ind w:left="1260" w:firstLine="420"/>
        <w:rPr>
          <w:rFonts w:ascii="宋体" w:hAnsi="宋体" w:cs="宋体"/>
          <w:b/>
          <w:bCs/>
          <w:kern w:val="13"/>
          <w:sz w:val="32"/>
          <w:szCs w:val="32"/>
          <w:highlight w:val="none"/>
        </w:rPr>
      </w:pPr>
      <w:r>
        <w:rPr>
          <w:rFonts w:hint="eastAsia" w:ascii="宋体" w:hAnsi="宋体" w:cs="宋体"/>
          <w:b/>
          <w:bCs/>
          <w:kern w:val="13"/>
          <w:sz w:val="32"/>
          <w:szCs w:val="32"/>
          <w:highlight w:val="none"/>
        </w:rPr>
        <w:t>采购人：</w:t>
      </w:r>
      <w:r>
        <w:rPr>
          <w:rFonts w:hint="eastAsia" w:ascii="宋体" w:hAnsi="宋体" w:cs="宋体"/>
          <w:b/>
          <w:bCs/>
          <w:kern w:val="13"/>
          <w:sz w:val="32"/>
          <w:highlight w:val="none"/>
        </w:rPr>
        <w:t>华南师范大学</w:t>
      </w:r>
    </w:p>
    <w:p>
      <w:pPr>
        <w:spacing w:line="360" w:lineRule="auto"/>
        <w:ind w:left="1260" w:firstLine="420"/>
        <w:rPr>
          <w:rFonts w:ascii="宋体" w:hAnsi="宋体"/>
          <w:b/>
          <w:bCs/>
          <w:kern w:val="13"/>
          <w:sz w:val="32"/>
          <w:szCs w:val="32"/>
          <w:highlight w:val="none"/>
        </w:rPr>
      </w:pPr>
      <w:r>
        <w:rPr>
          <w:rFonts w:hint="eastAsia" w:ascii="宋体" w:hAnsi="宋体" w:cs="宋体"/>
          <w:b/>
          <w:bCs/>
          <w:kern w:val="13"/>
          <w:sz w:val="32"/>
          <w:szCs w:val="32"/>
          <w:highlight w:val="none"/>
        </w:rPr>
        <w:t>采购代理机构：广东省机电设备招标有限公司</w:t>
      </w:r>
    </w:p>
    <w:p>
      <w:pPr>
        <w:spacing w:line="360" w:lineRule="auto"/>
        <w:jc w:val="center"/>
        <w:rPr>
          <w:rFonts w:ascii="宋体" w:hAnsi="宋体" w:cs="宋体"/>
          <w:b/>
          <w:bCs/>
          <w:kern w:val="13"/>
          <w:sz w:val="32"/>
          <w:szCs w:val="32"/>
          <w:highlight w:val="none"/>
        </w:rPr>
      </w:pPr>
    </w:p>
    <w:p>
      <w:pPr>
        <w:spacing w:line="360" w:lineRule="auto"/>
        <w:jc w:val="center"/>
        <w:rPr>
          <w:rFonts w:ascii="宋体" w:hAnsi="宋体" w:cs="宋体"/>
          <w:b/>
          <w:bCs/>
          <w:kern w:val="13"/>
          <w:sz w:val="32"/>
          <w:highlight w:val="none"/>
        </w:rPr>
      </w:pPr>
      <w:r>
        <w:rPr>
          <w:rFonts w:ascii="宋体" w:hAnsi="宋体" w:cs="宋体"/>
          <w:b/>
          <w:bCs/>
          <w:kern w:val="13"/>
          <w:sz w:val="32"/>
          <w:szCs w:val="32"/>
          <w:highlight w:val="none"/>
        </w:rPr>
        <w:t>20</w:t>
      </w:r>
      <w:r>
        <w:rPr>
          <w:rFonts w:hint="eastAsia" w:ascii="宋体" w:hAnsi="宋体" w:cs="宋体"/>
          <w:b/>
          <w:bCs/>
          <w:kern w:val="13"/>
          <w:sz w:val="32"/>
          <w:szCs w:val="32"/>
          <w:highlight w:val="none"/>
        </w:rPr>
        <w:t>20年0</w:t>
      </w:r>
      <w:r>
        <w:rPr>
          <w:rFonts w:hint="eastAsia" w:ascii="宋体" w:hAnsi="宋体" w:cs="宋体"/>
          <w:b/>
          <w:bCs/>
          <w:kern w:val="13"/>
          <w:sz w:val="32"/>
          <w:szCs w:val="32"/>
          <w:highlight w:val="none"/>
          <w:lang w:val="en-US" w:eastAsia="zh-CN"/>
        </w:rPr>
        <w:t>7</w:t>
      </w:r>
      <w:r>
        <w:rPr>
          <w:rFonts w:hint="eastAsia" w:ascii="宋体" w:hAnsi="宋体" w:cs="宋体"/>
          <w:b/>
          <w:bCs/>
          <w:kern w:val="13"/>
          <w:sz w:val="32"/>
          <w:szCs w:val="32"/>
          <w:highlight w:val="none"/>
        </w:rPr>
        <w:t>月</w:t>
      </w:r>
    </w:p>
    <w:p>
      <w:pPr>
        <w:spacing w:line="360" w:lineRule="auto"/>
        <w:jc w:val="center"/>
        <w:rPr>
          <w:rFonts w:hint="eastAsia" w:ascii="宋体" w:hAnsi="宋体" w:cs="宋体"/>
          <w:b/>
          <w:bCs/>
          <w:highlight w:val="none"/>
        </w:rPr>
        <w:sectPr>
          <w:headerReference r:id="rId3" w:type="default"/>
          <w:footerReference r:id="rId4" w:type="default"/>
          <w:pgSz w:w="11906" w:h="16838"/>
          <w:pgMar w:top="1418" w:right="1247" w:bottom="1418" w:left="1247" w:header="851" w:footer="992" w:gutter="0"/>
          <w:cols w:space="720" w:num="1"/>
          <w:titlePg/>
          <w:docGrid w:linePitch="312" w:charSpace="0"/>
        </w:sectPr>
      </w:pPr>
    </w:p>
    <w:p>
      <w:pPr>
        <w:spacing w:line="360" w:lineRule="auto"/>
        <w:jc w:val="center"/>
        <w:rPr>
          <w:rFonts w:ascii="宋体" w:hAnsi="宋体" w:cs="宋体"/>
          <w:b/>
          <w:bCs/>
          <w:highlight w:val="none"/>
        </w:rPr>
      </w:pPr>
      <w:r>
        <w:rPr>
          <w:rFonts w:hint="eastAsia" w:ascii="宋体" w:hAnsi="宋体" w:cs="宋体"/>
          <w:b/>
          <w:bCs/>
          <w:highlight w:val="none"/>
        </w:rPr>
        <w:t>温馨提示</w:t>
      </w:r>
    </w:p>
    <w:p>
      <w:pPr>
        <w:tabs>
          <w:tab w:val="center" w:pos="4706"/>
          <w:tab w:val="right" w:pos="9412"/>
        </w:tabs>
        <w:spacing w:line="360" w:lineRule="auto"/>
        <w:rPr>
          <w:rFonts w:ascii="宋体" w:hAnsi="宋体" w:cs="宋体"/>
          <w:b/>
          <w:bCs/>
          <w:highlight w:val="none"/>
        </w:rPr>
      </w:pPr>
      <w:r>
        <w:rPr>
          <w:rFonts w:ascii="宋体" w:hAnsi="宋体" w:cs="宋体"/>
          <w:b/>
          <w:highlight w:val="none"/>
        </w:rPr>
        <w:tab/>
      </w:r>
      <w:r>
        <w:rPr>
          <w:rFonts w:hint="eastAsia" w:ascii="宋体" w:hAnsi="宋体" w:cs="宋体"/>
          <w:b/>
          <w:highlight w:val="none"/>
        </w:rPr>
        <w:t>（本提示内容非竞争性磋商文件的组成部分，仅为善意提醒。如有不一致，以文件为准）</w:t>
      </w:r>
      <w:r>
        <w:rPr>
          <w:rFonts w:ascii="宋体" w:hAnsi="宋体" w:cs="宋体"/>
          <w:b/>
          <w:highlight w:val="none"/>
        </w:rPr>
        <w:tab/>
      </w:r>
    </w:p>
    <w:p>
      <w:pPr>
        <w:spacing w:line="360" w:lineRule="auto"/>
        <w:rPr>
          <w:rFonts w:ascii="宋体" w:hAnsi="宋体" w:cs="宋体"/>
          <w:highlight w:val="none"/>
        </w:rPr>
      </w:pPr>
    </w:p>
    <w:p>
      <w:pPr>
        <w:spacing w:line="360" w:lineRule="auto"/>
        <w:rPr>
          <w:rFonts w:ascii="宋体" w:hAnsi="宋体" w:cs="宋体"/>
          <w:highlight w:val="none"/>
        </w:rPr>
      </w:pPr>
      <w:r>
        <w:rPr>
          <w:rFonts w:hint="eastAsia" w:ascii="宋体" w:hAnsi="宋体" w:cs="宋体"/>
          <w:highlight w:val="none"/>
        </w:rPr>
        <w:t>1、潜在供应商须按磋商文件及公告要求报名（磋商文件可在</w:t>
      </w:r>
      <w:r>
        <w:rPr>
          <w:rFonts w:hint="eastAsia" w:ascii="宋体" w:hAnsi="宋体" w:cs="宋体"/>
          <w:b/>
          <w:highlight w:val="none"/>
          <w:u w:val="single"/>
        </w:rPr>
        <w:t>磋商公告发布的网站</w:t>
      </w:r>
      <w:r>
        <w:rPr>
          <w:rFonts w:hint="eastAsia" w:ascii="宋体" w:hAnsi="宋体" w:cs="宋体"/>
          <w:highlight w:val="none"/>
        </w:rPr>
        <w:t>上</w:t>
      </w:r>
      <w:r>
        <w:rPr>
          <w:rFonts w:hint="eastAsia" w:ascii="宋体" w:hAnsi="宋体" w:cs="宋体"/>
          <w:b/>
          <w:highlight w:val="none"/>
          <w:u w:val="single"/>
        </w:rPr>
        <w:t>自行下载</w:t>
      </w:r>
      <w:r>
        <w:rPr>
          <w:rFonts w:hint="eastAsia" w:ascii="宋体" w:hAnsi="宋体" w:cs="宋体"/>
          <w:highlight w:val="none"/>
        </w:rPr>
        <w:t>）。</w:t>
      </w:r>
    </w:p>
    <w:p>
      <w:pPr>
        <w:spacing w:line="360" w:lineRule="auto"/>
        <w:rPr>
          <w:rFonts w:ascii="宋体" w:hAnsi="宋体" w:cs="宋体"/>
          <w:highlight w:val="none"/>
        </w:rPr>
      </w:pPr>
      <w:r>
        <w:rPr>
          <w:rFonts w:hint="eastAsia" w:ascii="宋体" w:hAnsi="宋体" w:cs="宋体"/>
          <w:highlight w:val="none"/>
        </w:rPr>
        <w:t>2、本公司启用网上报名系统进行供应商报名，不设线下售卖磋商文件。请登录广咨电子招投标交易平台网站（www.gzebid.cn）进行供应商注册报名。</w:t>
      </w:r>
    </w:p>
    <w:p>
      <w:pPr>
        <w:tabs>
          <w:tab w:val="left" w:pos="851"/>
        </w:tabs>
        <w:spacing w:line="360" w:lineRule="auto"/>
        <w:ind w:left="420" w:hanging="420" w:hangingChars="200"/>
        <w:rPr>
          <w:rFonts w:ascii="宋体" w:hAnsi="宋体" w:cs="宋体"/>
          <w:highlight w:val="none"/>
        </w:rPr>
      </w:pPr>
      <w:r>
        <w:rPr>
          <w:rFonts w:hint="eastAsia" w:ascii="宋体" w:hAnsi="宋体" w:cs="宋体"/>
          <w:highlight w:val="none"/>
        </w:rPr>
        <w:t>3、请仔细检查响应文件是否已按磋商文件要求</w:t>
      </w:r>
      <w:r>
        <w:rPr>
          <w:rFonts w:hint="eastAsia" w:ascii="宋体" w:hAnsi="宋体" w:cs="宋体"/>
          <w:b/>
          <w:highlight w:val="none"/>
          <w:u w:val="single"/>
        </w:rPr>
        <w:t>盖章、签字（签章）、签署日期</w:t>
      </w:r>
      <w:r>
        <w:rPr>
          <w:rFonts w:hint="eastAsia" w:ascii="宋体" w:hAnsi="宋体" w:cs="宋体"/>
          <w:highlight w:val="none"/>
        </w:rPr>
        <w:t>。</w:t>
      </w:r>
    </w:p>
    <w:p>
      <w:pPr>
        <w:tabs>
          <w:tab w:val="left" w:pos="851"/>
        </w:tabs>
        <w:spacing w:line="360" w:lineRule="auto"/>
        <w:rPr>
          <w:rFonts w:ascii="宋体" w:hAnsi="宋体" w:cs="宋体"/>
          <w:highlight w:val="none"/>
        </w:rPr>
      </w:pPr>
      <w:r>
        <w:rPr>
          <w:rFonts w:hint="eastAsia" w:ascii="宋体" w:hAnsi="宋体" w:cs="宋体"/>
          <w:highlight w:val="none"/>
          <w:lang w:val="en-US" w:eastAsia="zh-CN"/>
        </w:rPr>
        <w:t>4</w:t>
      </w:r>
      <w:r>
        <w:rPr>
          <w:rFonts w:hint="eastAsia" w:ascii="宋体" w:hAnsi="宋体" w:cs="宋体"/>
          <w:highlight w:val="none"/>
        </w:rPr>
        <w:t>、单独提交的</w:t>
      </w:r>
      <w:r>
        <w:rPr>
          <w:rFonts w:hint="eastAsia" w:ascii="宋体" w:hAnsi="宋体" w:cs="宋体"/>
          <w:b/>
          <w:highlight w:val="none"/>
          <w:u w:val="single"/>
        </w:rPr>
        <w:t>信封</w:t>
      </w:r>
      <w:r>
        <w:rPr>
          <w:rFonts w:hint="eastAsia" w:ascii="宋体" w:hAnsi="宋体" w:cs="宋体"/>
          <w:highlight w:val="none"/>
        </w:rPr>
        <w:t>内容应包括：</w:t>
      </w:r>
      <w:r>
        <w:rPr>
          <w:rFonts w:hint="eastAsia" w:ascii="宋体" w:hAnsi="宋体" w:cs="宋体"/>
          <w:b/>
          <w:highlight w:val="none"/>
          <w:u w:val="single"/>
        </w:rPr>
        <w:t>磋商保证金凭证</w:t>
      </w:r>
      <w:r>
        <w:rPr>
          <w:rFonts w:hint="eastAsia" w:ascii="宋体" w:hAnsi="宋体" w:cs="宋体"/>
          <w:highlight w:val="none"/>
        </w:rPr>
        <w:t>（提供银行支付凭证</w:t>
      </w:r>
      <w:r>
        <w:rPr>
          <w:rFonts w:hint="eastAsia" w:ascii="宋体" w:hAnsi="宋体" w:cs="宋体"/>
          <w:b/>
          <w:highlight w:val="none"/>
          <w:u w:val="single"/>
        </w:rPr>
        <w:t>复印件</w:t>
      </w:r>
      <w:r>
        <w:rPr>
          <w:rFonts w:hint="eastAsia" w:ascii="宋体" w:hAnsi="宋体" w:cs="宋体"/>
          <w:highlight w:val="none"/>
        </w:rPr>
        <w:t>）、</w:t>
      </w:r>
      <w:r>
        <w:rPr>
          <w:rFonts w:hint="eastAsia" w:ascii="宋体" w:hAnsi="宋体" w:cs="宋体"/>
          <w:b/>
          <w:highlight w:val="none"/>
          <w:u w:val="single"/>
        </w:rPr>
        <w:t>退磋商保证金说明函原件</w:t>
      </w:r>
      <w:r>
        <w:rPr>
          <w:rFonts w:hint="eastAsia" w:ascii="宋体" w:hAnsi="宋体" w:cs="宋体"/>
          <w:highlight w:val="none"/>
        </w:rPr>
        <w:t>。</w:t>
      </w:r>
    </w:p>
    <w:p>
      <w:pPr>
        <w:tabs>
          <w:tab w:val="left" w:pos="851"/>
        </w:tabs>
        <w:spacing w:line="360" w:lineRule="auto"/>
        <w:rPr>
          <w:rFonts w:ascii="宋体" w:hAnsi="宋体" w:cs="宋体"/>
          <w:highlight w:val="none"/>
        </w:rPr>
      </w:pPr>
      <w:r>
        <w:rPr>
          <w:rFonts w:hint="eastAsia" w:ascii="宋体" w:hAnsi="宋体" w:cs="宋体"/>
          <w:highlight w:val="none"/>
          <w:lang w:val="en-US" w:eastAsia="zh-CN"/>
        </w:rPr>
        <w:t>5</w:t>
      </w:r>
      <w:r>
        <w:rPr>
          <w:rFonts w:hint="eastAsia" w:ascii="宋体" w:hAnsi="宋体" w:cs="宋体"/>
          <w:highlight w:val="none"/>
        </w:rPr>
        <w:t>、供应商须通过广咨电子招投标交易平台网站（</w:t>
      </w:r>
      <w:r>
        <w:rPr>
          <w:highlight w:val="none"/>
        </w:rPr>
        <w:fldChar w:fldCharType="begin"/>
      </w:r>
      <w:r>
        <w:rPr>
          <w:highlight w:val="none"/>
        </w:rPr>
        <w:instrText xml:space="preserve"> HYPERLINK "http://www.gzebid.cn）获取子账号的方式递交投标/报价保证金及中标/" </w:instrText>
      </w:r>
      <w:r>
        <w:rPr>
          <w:highlight w:val="none"/>
        </w:rPr>
        <w:fldChar w:fldCharType="separate"/>
      </w:r>
      <w:r>
        <w:rPr>
          <w:rFonts w:hint="eastAsia" w:ascii="宋体" w:hAnsi="宋体" w:cs="宋体"/>
          <w:highlight w:val="none"/>
        </w:rPr>
        <w:t>http://www.gzebid.cn）获取子账号的方式递交磋商保证金及</w:t>
      </w:r>
      <w:r>
        <w:rPr>
          <w:rFonts w:hint="eastAsia" w:ascii="宋体" w:hAnsi="宋体" w:cs="宋体"/>
          <w:highlight w:val="none"/>
        </w:rPr>
        <w:fldChar w:fldCharType="end"/>
      </w:r>
      <w:r>
        <w:rPr>
          <w:rFonts w:hint="eastAsia" w:ascii="宋体" w:hAnsi="宋体" w:cs="宋体"/>
          <w:highlight w:val="none"/>
        </w:rPr>
        <w:t>成交服务费。</w:t>
      </w:r>
    </w:p>
    <w:p>
      <w:pPr>
        <w:spacing w:line="360" w:lineRule="auto"/>
        <w:rPr>
          <w:rFonts w:ascii="宋体" w:hAnsi="宋体" w:cs="宋体"/>
          <w:highlight w:val="none"/>
        </w:rPr>
      </w:pPr>
      <w:r>
        <w:rPr>
          <w:rFonts w:hint="eastAsia" w:ascii="宋体" w:hAnsi="宋体" w:cs="宋体"/>
          <w:highlight w:val="none"/>
          <w:lang w:val="en-US" w:eastAsia="zh-CN"/>
        </w:rPr>
        <w:t>6</w:t>
      </w:r>
      <w:r>
        <w:rPr>
          <w:rFonts w:hint="eastAsia" w:ascii="宋体" w:hAnsi="宋体" w:cs="宋体"/>
          <w:highlight w:val="none"/>
        </w:rPr>
        <w:t>、</w:t>
      </w:r>
      <w:r>
        <w:rPr>
          <w:rFonts w:hint="eastAsia" w:ascii="宋体" w:hAnsi="宋体" w:cs="宋体"/>
          <w:b/>
          <w:highlight w:val="none"/>
          <w:u w:val="single"/>
        </w:rPr>
        <w:t>每个供应商每个项目的保证金缴纳账户是唯一的</w:t>
      </w:r>
      <w:r>
        <w:rPr>
          <w:rFonts w:hint="eastAsia" w:ascii="宋体" w:hAnsi="宋体" w:cs="宋体"/>
          <w:highlight w:val="none"/>
        </w:rPr>
        <w:t>，本司将根据唯一保证金缴纳账户的缴纳情况，确认供应商是否已按规定缴纳项目保证金。所以请各供应商缴纳保证金前务必核对正确的缴纳账户，错缴误缴导致未按项目缴纳保证金的情况将由供应商自行负责。</w:t>
      </w:r>
    </w:p>
    <w:p>
      <w:pPr>
        <w:spacing w:line="360" w:lineRule="auto"/>
        <w:rPr>
          <w:rFonts w:ascii="宋体" w:hAnsi="宋体" w:cs="宋体"/>
          <w:highlight w:val="none"/>
          <w:u w:val="single"/>
        </w:rPr>
      </w:pPr>
      <w:r>
        <w:rPr>
          <w:rFonts w:hint="eastAsia" w:ascii="宋体" w:hAnsi="宋体" w:cs="宋体"/>
          <w:highlight w:val="none"/>
          <w:lang w:val="en-US" w:eastAsia="zh-CN"/>
        </w:rPr>
        <w:t>7</w:t>
      </w:r>
      <w:r>
        <w:rPr>
          <w:rFonts w:hint="eastAsia" w:ascii="宋体" w:hAnsi="宋体" w:cs="宋体"/>
          <w:highlight w:val="none"/>
        </w:rPr>
        <w:t>、</w:t>
      </w:r>
      <w:r>
        <w:rPr>
          <w:rFonts w:hint="eastAsia" w:ascii="宋体" w:hAnsi="宋体" w:cs="宋体"/>
          <w:b/>
          <w:highlight w:val="none"/>
          <w:u w:val="single"/>
        </w:rPr>
        <w:t>供应商严禁采用EFT系统(广东金融结算系统)方式缴纳磋商保证，如采用此方式导致招投标系统无法识别缴纳账号信息的，视为未按要求缴纳保证金，由此造成后果由供应商自行承担责任。</w:t>
      </w:r>
    </w:p>
    <w:p>
      <w:pPr>
        <w:tabs>
          <w:tab w:val="left" w:pos="851"/>
        </w:tabs>
        <w:spacing w:line="360" w:lineRule="auto"/>
        <w:rPr>
          <w:rFonts w:ascii="宋体" w:hAnsi="宋体" w:cs="宋体"/>
          <w:highlight w:val="none"/>
        </w:rPr>
      </w:pPr>
      <w:r>
        <w:rPr>
          <w:rFonts w:hint="eastAsia" w:ascii="宋体" w:hAnsi="宋体" w:cs="宋体"/>
          <w:highlight w:val="none"/>
          <w:lang w:val="en-US" w:eastAsia="zh-CN"/>
        </w:rPr>
        <w:t>8</w:t>
      </w:r>
      <w:r>
        <w:rPr>
          <w:rFonts w:hint="eastAsia" w:ascii="宋体" w:hAnsi="宋体" w:cs="宋体"/>
          <w:highlight w:val="none"/>
        </w:rPr>
        <w:t>、未成交供应商的磋商保证金退款程序：在</w:t>
      </w:r>
      <w:r>
        <w:rPr>
          <w:rFonts w:hint="eastAsia" w:ascii="宋体" w:hAnsi="宋体" w:cs="宋体"/>
          <w:b/>
          <w:highlight w:val="none"/>
          <w:u w:val="single"/>
        </w:rPr>
        <w:t>成交通知书发出后的五个工作日内</w:t>
      </w:r>
      <w:r>
        <w:rPr>
          <w:rFonts w:hint="eastAsia" w:ascii="宋体" w:hAnsi="宋体" w:cs="宋体"/>
          <w:highlight w:val="none"/>
        </w:rPr>
        <w:t>按规定程序原额退还。</w:t>
      </w:r>
    </w:p>
    <w:p>
      <w:pPr>
        <w:tabs>
          <w:tab w:val="left" w:pos="851"/>
        </w:tabs>
        <w:spacing w:line="360" w:lineRule="auto"/>
        <w:rPr>
          <w:rFonts w:ascii="宋体" w:hAnsi="宋体" w:cs="宋体"/>
          <w:highlight w:val="none"/>
        </w:rPr>
      </w:pPr>
      <w:r>
        <w:rPr>
          <w:rFonts w:hint="eastAsia" w:ascii="宋体" w:hAnsi="宋体" w:cs="宋体"/>
          <w:highlight w:val="none"/>
          <w:lang w:val="en-US" w:eastAsia="zh-CN"/>
        </w:rPr>
        <w:t>9</w:t>
      </w:r>
      <w:r>
        <w:rPr>
          <w:rFonts w:hint="eastAsia" w:ascii="宋体" w:hAnsi="宋体" w:cs="宋体"/>
          <w:highlight w:val="none"/>
        </w:rPr>
        <w:t>、成交供应商的磋商保证金退款程序：在</w:t>
      </w:r>
      <w:r>
        <w:rPr>
          <w:rFonts w:hint="eastAsia" w:ascii="宋体" w:hAnsi="宋体" w:cs="宋体"/>
          <w:b/>
          <w:highlight w:val="none"/>
          <w:u w:val="single"/>
        </w:rPr>
        <w:t>收到成交</w:t>
      </w:r>
      <w:r>
        <w:rPr>
          <w:rFonts w:hint="eastAsia" w:ascii="宋体" w:hAnsi="宋体" w:cs="宋体"/>
          <w:highlight w:val="none"/>
        </w:rPr>
        <w:t>供应商提交的</w:t>
      </w:r>
      <w:r>
        <w:rPr>
          <w:rFonts w:hint="eastAsia" w:ascii="宋体" w:hAnsi="宋体" w:cs="宋体"/>
          <w:b/>
          <w:highlight w:val="none"/>
          <w:u w:val="single"/>
        </w:rPr>
        <w:t>合同原件或复印件后五个工作日内</w:t>
      </w:r>
      <w:r>
        <w:rPr>
          <w:rFonts w:hint="eastAsia" w:ascii="宋体" w:hAnsi="宋体" w:cs="宋体"/>
          <w:highlight w:val="none"/>
        </w:rPr>
        <w:t>原额退还。</w:t>
      </w:r>
    </w:p>
    <w:p>
      <w:pPr>
        <w:tabs>
          <w:tab w:val="left" w:pos="851"/>
        </w:tabs>
        <w:spacing w:line="360" w:lineRule="auto"/>
        <w:rPr>
          <w:rFonts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0</w:t>
      </w:r>
      <w:r>
        <w:rPr>
          <w:rFonts w:hint="eastAsia" w:ascii="宋体" w:hAnsi="宋体" w:cs="宋体"/>
          <w:highlight w:val="none"/>
        </w:rPr>
        <w:t>、如磋商文件有澄清、修改或者延期的，我司会在相关媒体上发布公告。</w:t>
      </w:r>
    </w:p>
    <w:p>
      <w:pPr>
        <w:spacing w:line="360" w:lineRule="auto"/>
        <w:rPr>
          <w:rFonts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1</w:t>
      </w:r>
      <w:r>
        <w:rPr>
          <w:rFonts w:hint="eastAsia" w:ascii="宋体" w:hAnsi="宋体" w:cs="宋体"/>
          <w:highlight w:val="none"/>
        </w:rPr>
        <w:t>、如供应商以非独立法人注册的分公司名义代表总公司盖章和签署文件的，须提供总公司的营业执照副本复印件及总公司针对本项目</w:t>
      </w:r>
      <w:r>
        <w:rPr>
          <w:rFonts w:hint="eastAsia" w:ascii="宋体" w:hAnsi="宋体" w:cs="宋体"/>
          <w:highlight w:val="none"/>
          <w:lang w:val="en-US" w:eastAsia="zh-CN"/>
        </w:rPr>
        <w:t>投标</w:t>
      </w:r>
      <w:r>
        <w:rPr>
          <w:rFonts w:hint="eastAsia" w:ascii="宋体" w:hAnsi="宋体" w:cs="宋体"/>
          <w:highlight w:val="none"/>
        </w:rPr>
        <w:t>的授权书原件。</w:t>
      </w:r>
    </w:p>
    <w:p>
      <w:pPr>
        <w:spacing w:line="360" w:lineRule="auto"/>
        <w:jc w:val="center"/>
        <w:rPr>
          <w:rFonts w:ascii="宋体" w:hAnsi="宋体" w:cs="宋体"/>
          <w:b/>
          <w:bCs/>
          <w:kern w:val="13"/>
          <w:sz w:val="32"/>
          <w:highlight w:val="none"/>
        </w:rPr>
      </w:pPr>
    </w:p>
    <w:p>
      <w:pPr>
        <w:pStyle w:val="31"/>
        <w:rPr>
          <w:rFonts w:hAnsi="宋体" w:cs="宋体"/>
          <w:highlight w:val="none"/>
        </w:rPr>
      </w:pPr>
      <w:r>
        <w:rPr>
          <w:rFonts w:hint="eastAsia" w:hAnsi="宋体" w:cs="宋体"/>
          <w:highlight w:val="none"/>
        </w:rPr>
        <w:br w:type="page"/>
      </w:r>
      <w:bookmarkStart w:id="0" w:name="_Toc134956113"/>
      <w:bookmarkStart w:id="1" w:name="_Toc175644811"/>
      <w:bookmarkStart w:id="2" w:name="_Toc118083894"/>
      <w:bookmarkStart w:id="3" w:name="_Toc134956025"/>
      <w:bookmarkStart w:id="4" w:name="_Toc134955399"/>
      <w:bookmarkStart w:id="5" w:name="_Toc127930770"/>
      <w:bookmarkStart w:id="6" w:name="_Toc98579589"/>
      <w:bookmarkStart w:id="7" w:name="_Toc98580272"/>
      <w:bookmarkStart w:id="8" w:name="_Toc98579048"/>
      <w:bookmarkStart w:id="9" w:name="_Toc98578990"/>
      <w:bookmarkStart w:id="10" w:name="_Toc175644436"/>
      <w:bookmarkStart w:id="11" w:name="_Toc175644383"/>
    </w:p>
    <w:p>
      <w:pPr>
        <w:pStyle w:val="31"/>
        <w:spacing w:line="480" w:lineRule="auto"/>
        <w:rPr>
          <w:rFonts w:hAnsi="宋体" w:cs="宋体"/>
          <w:b/>
          <w:sz w:val="24"/>
          <w:szCs w:val="24"/>
          <w:highlight w:val="none"/>
        </w:rPr>
      </w:pPr>
    </w:p>
    <w:p>
      <w:pPr>
        <w:pStyle w:val="31"/>
        <w:spacing w:line="480" w:lineRule="auto"/>
        <w:rPr>
          <w:rFonts w:hAnsi="宋体" w:cs="宋体"/>
          <w:b/>
          <w:sz w:val="24"/>
          <w:szCs w:val="24"/>
          <w:highlight w:val="none"/>
        </w:rPr>
      </w:pPr>
      <w:r>
        <w:rPr>
          <w:rFonts w:hint="eastAsia" w:hAnsi="宋体" w:cs="宋体"/>
          <w:b/>
          <w:sz w:val="24"/>
          <w:szCs w:val="24"/>
          <w:highlight w:val="none"/>
        </w:rPr>
        <w:t>目  录</w:t>
      </w:r>
      <w:bookmarkEnd w:id="0"/>
      <w:bookmarkEnd w:id="1"/>
      <w:bookmarkEnd w:id="2"/>
      <w:bookmarkEnd w:id="3"/>
      <w:bookmarkEnd w:id="4"/>
    </w:p>
    <w:p>
      <w:pPr>
        <w:pStyle w:val="31"/>
        <w:tabs>
          <w:tab w:val="right" w:leader="dot" w:pos="9412"/>
          <w:tab w:val="clear" w:pos="9402"/>
        </w:tabs>
        <w:spacing w:line="48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highlight w:val="none"/>
        </w:rPr>
        <w:fldChar w:fldCharType="begin"/>
      </w:r>
      <w:r>
        <w:rPr>
          <w:rFonts w:hint="eastAsia" w:asciiTheme="minorEastAsia" w:hAnsiTheme="minorEastAsia" w:eastAsiaTheme="minorEastAsia" w:cstheme="minorEastAsia"/>
          <w:b/>
          <w:bCs/>
          <w:sz w:val="21"/>
          <w:szCs w:val="21"/>
          <w:highlight w:val="none"/>
        </w:rPr>
        <w:instrText xml:space="preserve"> TOC \o "1-2" \h \z \u </w:instrText>
      </w:r>
      <w:r>
        <w:rPr>
          <w:rFonts w:hint="eastAsia" w:asciiTheme="minorEastAsia" w:hAnsiTheme="minorEastAsia" w:eastAsiaTheme="minorEastAsia" w:cstheme="minorEastAsia"/>
          <w:b/>
          <w:bCs/>
          <w:sz w:val="21"/>
          <w:szCs w:val="21"/>
          <w:highlight w:val="none"/>
        </w:rPr>
        <w:fldChar w:fldCharType="separate"/>
      </w:r>
      <w:bookmarkStart w:id="12" w:name="_Toc28712"/>
      <w:bookmarkStart w:id="13" w:name="_Toc28951"/>
      <w:bookmarkStart w:id="14" w:name="_Toc15856"/>
      <w:bookmarkStart w:id="15" w:name="_Toc25404"/>
      <w:bookmarkStart w:id="16" w:name="_Toc11337"/>
      <w:bookmarkStart w:id="17" w:name="_Toc30050"/>
      <w:r>
        <w:rPr>
          <w:rFonts w:hint="eastAsia" w:asciiTheme="minorEastAsia" w:hAnsiTheme="minorEastAsia" w:eastAsiaTheme="minorEastAsia" w:cstheme="minorEastAsia"/>
          <w:b/>
          <w:bCs/>
          <w:sz w:val="21"/>
          <w:szCs w:val="21"/>
          <w:highlight w:val="none"/>
        </w:rPr>
        <w:fldChar w:fldCharType="begin"/>
      </w:r>
      <w:r>
        <w:rPr>
          <w:rFonts w:hint="eastAsia" w:asciiTheme="minorEastAsia" w:hAnsiTheme="minorEastAsia" w:eastAsiaTheme="minorEastAsia" w:cstheme="minorEastAsia"/>
          <w:b/>
          <w:bCs/>
          <w:sz w:val="21"/>
          <w:szCs w:val="21"/>
          <w:highlight w:val="none"/>
        </w:rPr>
        <w:instrText xml:space="preserve"> HYPERLINK \l _Toc25637 </w:instrText>
      </w:r>
      <w:r>
        <w:rPr>
          <w:rFonts w:hint="eastAsia" w:asciiTheme="minorEastAsia" w:hAnsiTheme="minorEastAsia" w:eastAsiaTheme="minorEastAsia" w:cstheme="minorEastAsia"/>
          <w:b/>
          <w:bCs/>
          <w:sz w:val="21"/>
          <w:szCs w:val="21"/>
          <w:highlight w:val="none"/>
        </w:rPr>
        <w:fldChar w:fldCharType="separate"/>
      </w:r>
      <w:r>
        <w:rPr>
          <w:rFonts w:hint="eastAsia" w:asciiTheme="minorEastAsia" w:hAnsiTheme="minorEastAsia" w:eastAsiaTheme="minorEastAsia" w:cstheme="minorEastAsia"/>
          <w:b/>
          <w:bCs/>
          <w:sz w:val="21"/>
          <w:szCs w:val="21"/>
          <w:highlight w:val="none"/>
        </w:rPr>
        <w:t>投标邀请函</w:t>
      </w:r>
      <w:r>
        <w:rPr>
          <w:rFonts w:hint="eastAsia" w:asciiTheme="minorEastAsia" w:hAnsiTheme="minorEastAsia" w:eastAsiaTheme="minorEastAsia" w:cstheme="minorEastAsia"/>
          <w:b/>
          <w:bCs/>
          <w:sz w:val="21"/>
          <w:szCs w:val="21"/>
        </w:rPr>
        <w:tab/>
      </w:r>
      <w:r>
        <w:rPr>
          <w:rFonts w:hint="eastAsia" w:asciiTheme="minorEastAsia" w:hAnsiTheme="minorEastAsia" w:eastAsiaTheme="minorEastAsia" w:cstheme="minorEastAsia"/>
          <w:b/>
          <w:bCs/>
          <w:sz w:val="21"/>
          <w:szCs w:val="21"/>
        </w:rPr>
        <w:fldChar w:fldCharType="begin"/>
      </w:r>
      <w:r>
        <w:rPr>
          <w:rFonts w:hint="eastAsia" w:asciiTheme="minorEastAsia" w:hAnsiTheme="minorEastAsia" w:eastAsiaTheme="minorEastAsia" w:cstheme="minorEastAsia"/>
          <w:b/>
          <w:bCs/>
          <w:sz w:val="21"/>
          <w:szCs w:val="21"/>
        </w:rPr>
        <w:instrText xml:space="preserve"> PAGEREF _Toc25637 </w:instrText>
      </w:r>
      <w:r>
        <w:rPr>
          <w:rFonts w:hint="eastAsia" w:asciiTheme="minorEastAsia" w:hAnsiTheme="minorEastAsia" w:eastAsiaTheme="minorEastAsia" w:cstheme="minorEastAsia"/>
          <w:b/>
          <w:bCs/>
          <w:sz w:val="21"/>
          <w:szCs w:val="21"/>
        </w:rPr>
        <w:fldChar w:fldCharType="separate"/>
      </w:r>
      <w:r>
        <w:rPr>
          <w:rFonts w:hint="eastAsia" w:asciiTheme="minorEastAsia" w:hAnsiTheme="minorEastAsia" w:eastAsiaTheme="minorEastAsia" w:cstheme="minorEastAsia"/>
          <w:b/>
          <w:bCs/>
          <w:sz w:val="21"/>
          <w:szCs w:val="21"/>
        </w:rPr>
        <w:t>3</w:t>
      </w:r>
      <w:r>
        <w:rPr>
          <w:rFonts w:hint="eastAsia" w:asciiTheme="minorEastAsia" w:hAnsiTheme="minorEastAsia" w:eastAsiaTheme="minorEastAsia" w:cstheme="minorEastAsia"/>
          <w:b/>
          <w:bCs/>
          <w:sz w:val="21"/>
          <w:szCs w:val="21"/>
        </w:rPr>
        <w:fldChar w:fldCharType="end"/>
      </w:r>
      <w:r>
        <w:rPr>
          <w:rFonts w:hint="eastAsia" w:asciiTheme="minorEastAsia" w:hAnsiTheme="minorEastAsia" w:eastAsiaTheme="minorEastAsia" w:cstheme="minorEastAsia"/>
          <w:b/>
          <w:bCs/>
          <w:sz w:val="21"/>
          <w:szCs w:val="21"/>
          <w:highlight w:val="none"/>
        </w:rPr>
        <w:fldChar w:fldCharType="end"/>
      </w:r>
    </w:p>
    <w:p>
      <w:pPr>
        <w:pStyle w:val="31"/>
        <w:tabs>
          <w:tab w:val="right" w:leader="dot" w:pos="9412"/>
          <w:tab w:val="clear" w:pos="9402"/>
        </w:tabs>
        <w:spacing w:line="48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highlight w:val="none"/>
        </w:rPr>
        <w:fldChar w:fldCharType="begin"/>
      </w:r>
      <w:r>
        <w:rPr>
          <w:rFonts w:hint="eastAsia" w:asciiTheme="minorEastAsia" w:hAnsiTheme="minorEastAsia" w:eastAsiaTheme="minorEastAsia" w:cstheme="minorEastAsia"/>
          <w:b/>
          <w:bCs/>
          <w:sz w:val="21"/>
          <w:szCs w:val="21"/>
          <w:highlight w:val="none"/>
        </w:rPr>
        <w:instrText xml:space="preserve"> HYPERLINK \l _Toc6905 </w:instrText>
      </w:r>
      <w:r>
        <w:rPr>
          <w:rFonts w:hint="eastAsia" w:asciiTheme="minorEastAsia" w:hAnsiTheme="minorEastAsia" w:eastAsiaTheme="minorEastAsia" w:cstheme="minorEastAsia"/>
          <w:b/>
          <w:bCs/>
          <w:sz w:val="21"/>
          <w:szCs w:val="21"/>
          <w:highlight w:val="none"/>
        </w:rPr>
        <w:fldChar w:fldCharType="separate"/>
      </w:r>
      <w:r>
        <w:rPr>
          <w:rFonts w:hint="eastAsia" w:asciiTheme="minorEastAsia" w:hAnsiTheme="minorEastAsia" w:eastAsiaTheme="minorEastAsia" w:cstheme="minorEastAsia"/>
          <w:b/>
          <w:bCs/>
          <w:sz w:val="21"/>
          <w:szCs w:val="21"/>
          <w:highlight w:val="none"/>
        </w:rPr>
        <w:t>第一章 供应商须知</w:t>
      </w:r>
      <w:r>
        <w:rPr>
          <w:rFonts w:hint="eastAsia" w:asciiTheme="minorEastAsia" w:hAnsiTheme="minorEastAsia" w:eastAsiaTheme="minorEastAsia" w:cstheme="minorEastAsia"/>
          <w:b/>
          <w:bCs/>
          <w:sz w:val="21"/>
          <w:szCs w:val="21"/>
        </w:rPr>
        <w:tab/>
      </w:r>
      <w:r>
        <w:rPr>
          <w:rFonts w:hint="eastAsia" w:asciiTheme="minorEastAsia" w:hAnsiTheme="minorEastAsia" w:eastAsiaTheme="minorEastAsia" w:cstheme="minorEastAsia"/>
          <w:b/>
          <w:bCs/>
          <w:sz w:val="21"/>
          <w:szCs w:val="21"/>
        </w:rPr>
        <w:fldChar w:fldCharType="begin"/>
      </w:r>
      <w:r>
        <w:rPr>
          <w:rFonts w:hint="eastAsia" w:asciiTheme="minorEastAsia" w:hAnsiTheme="minorEastAsia" w:eastAsiaTheme="minorEastAsia" w:cstheme="minorEastAsia"/>
          <w:b/>
          <w:bCs/>
          <w:sz w:val="21"/>
          <w:szCs w:val="21"/>
        </w:rPr>
        <w:instrText xml:space="preserve"> PAGEREF _Toc6905 </w:instrText>
      </w:r>
      <w:r>
        <w:rPr>
          <w:rFonts w:hint="eastAsia" w:asciiTheme="minorEastAsia" w:hAnsiTheme="minorEastAsia" w:eastAsiaTheme="minorEastAsia" w:cstheme="minorEastAsia"/>
          <w:b/>
          <w:bCs/>
          <w:sz w:val="21"/>
          <w:szCs w:val="21"/>
        </w:rPr>
        <w:fldChar w:fldCharType="separate"/>
      </w:r>
      <w:r>
        <w:rPr>
          <w:rFonts w:hint="eastAsia" w:asciiTheme="minorEastAsia" w:hAnsiTheme="minorEastAsia" w:eastAsiaTheme="minorEastAsia" w:cstheme="minorEastAsia"/>
          <w:b/>
          <w:bCs/>
          <w:sz w:val="21"/>
          <w:szCs w:val="21"/>
        </w:rPr>
        <w:t>6</w:t>
      </w:r>
      <w:r>
        <w:rPr>
          <w:rFonts w:hint="eastAsia" w:asciiTheme="minorEastAsia" w:hAnsiTheme="minorEastAsia" w:eastAsiaTheme="minorEastAsia" w:cstheme="minorEastAsia"/>
          <w:b/>
          <w:bCs/>
          <w:sz w:val="21"/>
          <w:szCs w:val="21"/>
        </w:rPr>
        <w:fldChar w:fldCharType="end"/>
      </w:r>
      <w:r>
        <w:rPr>
          <w:rFonts w:hint="eastAsia" w:asciiTheme="minorEastAsia" w:hAnsiTheme="minorEastAsia" w:eastAsiaTheme="minorEastAsia" w:cstheme="minorEastAsia"/>
          <w:b/>
          <w:bCs/>
          <w:sz w:val="21"/>
          <w:szCs w:val="21"/>
          <w:highlight w:val="none"/>
        </w:rPr>
        <w:fldChar w:fldCharType="end"/>
      </w:r>
    </w:p>
    <w:p>
      <w:pPr>
        <w:pStyle w:val="37"/>
        <w:tabs>
          <w:tab w:val="right" w:leader="dot" w:pos="9412"/>
          <w:tab w:val="clear" w:pos="9402"/>
        </w:tabs>
        <w:spacing w:line="48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highlight w:val="none"/>
        </w:rPr>
        <w:fldChar w:fldCharType="begin"/>
      </w:r>
      <w:r>
        <w:rPr>
          <w:rFonts w:hint="eastAsia" w:asciiTheme="minorEastAsia" w:hAnsiTheme="minorEastAsia" w:eastAsiaTheme="minorEastAsia" w:cstheme="minorEastAsia"/>
          <w:b/>
          <w:bCs/>
          <w:sz w:val="21"/>
          <w:szCs w:val="21"/>
          <w:highlight w:val="none"/>
        </w:rPr>
        <w:instrText xml:space="preserve"> HYPERLINK \l _Toc29416 </w:instrText>
      </w:r>
      <w:r>
        <w:rPr>
          <w:rFonts w:hint="eastAsia" w:asciiTheme="minorEastAsia" w:hAnsiTheme="minorEastAsia" w:eastAsiaTheme="minorEastAsia" w:cstheme="minorEastAsia"/>
          <w:b/>
          <w:bCs/>
          <w:sz w:val="21"/>
          <w:szCs w:val="21"/>
          <w:highlight w:val="none"/>
        </w:rPr>
        <w:fldChar w:fldCharType="separate"/>
      </w:r>
      <w:r>
        <w:rPr>
          <w:rFonts w:hint="eastAsia" w:asciiTheme="minorEastAsia" w:hAnsiTheme="minorEastAsia" w:eastAsiaTheme="minorEastAsia" w:cstheme="minorEastAsia"/>
          <w:b/>
          <w:bCs/>
          <w:sz w:val="21"/>
          <w:szCs w:val="21"/>
          <w:lang w:val="en-US"/>
        </w:rPr>
        <w:t xml:space="preserve">一、 </w:t>
      </w:r>
      <w:r>
        <w:rPr>
          <w:rFonts w:hint="eastAsia" w:asciiTheme="minorEastAsia" w:hAnsiTheme="minorEastAsia" w:eastAsiaTheme="minorEastAsia" w:cstheme="minorEastAsia"/>
          <w:b/>
          <w:bCs/>
          <w:sz w:val="21"/>
          <w:szCs w:val="21"/>
          <w:highlight w:val="none"/>
        </w:rPr>
        <w:t>定义</w:t>
      </w:r>
      <w:r>
        <w:rPr>
          <w:rFonts w:hint="eastAsia" w:asciiTheme="minorEastAsia" w:hAnsiTheme="minorEastAsia" w:eastAsiaTheme="minorEastAsia" w:cstheme="minorEastAsia"/>
          <w:b/>
          <w:bCs/>
          <w:sz w:val="21"/>
          <w:szCs w:val="21"/>
        </w:rPr>
        <w:tab/>
      </w:r>
      <w:r>
        <w:rPr>
          <w:rFonts w:hint="eastAsia" w:asciiTheme="minorEastAsia" w:hAnsiTheme="minorEastAsia" w:eastAsiaTheme="minorEastAsia" w:cstheme="minorEastAsia"/>
          <w:b/>
          <w:bCs/>
          <w:sz w:val="21"/>
          <w:szCs w:val="21"/>
        </w:rPr>
        <w:fldChar w:fldCharType="begin"/>
      </w:r>
      <w:r>
        <w:rPr>
          <w:rFonts w:hint="eastAsia" w:asciiTheme="minorEastAsia" w:hAnsiTheme="minorEastAsia" w:eastAsiaTheme="minorEastAsia" w:cstheme="minorEastAsia"/>
          <w:b/>
          <w:bCs/>
          <w:sz w:val="21"/>
          <w:szCs w:val="21"/>
        </w:rPr>
        <w:instrText xml:space="preserve"> PAGEREF _Toc29416 </w:instrText>
      </w:r>
      <w:r>
        <w:rPr>
          <w:rFonts w:hint="eastAsia" w:asciiTheme="minorEastAsia" w:hAnsiTheme="minorEastAsia" w:eastAsiaTheme="minorEastAsia" w:cstheme="minorEastAsia"/>
          <w:b/>
          <w:bCs/>
          <w:sz w:val="21"/>
          <w:szCs w:val="21"/>
        </w:rPr>
        <w:fldChar w:fldCharType="separate"/>
      </w:r>
      <w:r>
        <w:rPr>
          <w:rFonts w:hint="eastAsia" w:asciiTheme="minorEastAsia" w:hAnsiTheme="minorEastAsia" w:eastAsiaTheme="minorEastAsia" w:cstheme="minorEastAsia"/>
          <w:b/>
          <w:bCs/>
          <w:sz w:val="21"/>
          <w:szCs w:val="21"/>
        </w:rPr>
        <w:t>6</w:t>
      </w:r>
      <w:r>
        <w:rPr>
          <w:rFonts w:hint="eastAsia" w:asciiTheme="minorEastAsia" w:hAnsiTheme="minorEastAsia" w:eastAsiaTheme="minorEastAsia" w:cstheme="minorEastAsia"/>
          <w:b/>
          <w:bCs/>
          <w:sz w:val="21"/>
          <w:szCs w:val="21"/>
        </w:rPr>
        <w:fldChar w:fldCharType="end"/>
      </w:r>
      <w:r>
        <w:rPr>
          <w:rFonts w:hint="eastAsia" w:asciiTheme="minorEastAsia" w:hAnsiTheme="minorEastAsia" w:eastAsiaTheme="minorEastAsia" w:cstheme="minorEastAsia"/>
          <w:b/>
          <w:bCs/>
          <w:sz w:val="21"/>
          <w:szCs w:val="21"/>
          <w:highlight w:val="none"/>
        </w:rPr>
        <w:fldChar w:fldCharType="end"/>
      </w:r>
    </w:p>
    <w:p>
      <w:pPr>
        <w:pStyle w:val="37"/>
        <w:tabs>
          <w:tab w:val="right" w:leader="dot" w:pos="9412"/>
          <w:tab w:val="clear" w:pos="9402"/>
        </w:tabs>
        <w:spacing w:line="48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highlight w:val="none"/>
        </w:rPr>
        <w:fldChar w:fldCharType="begin"/>
      </w:r>
      <w:r>
        <w:rPr>
          <w:rFonts w:hint="eastAsia" w:asciiTheme="minorEastAsia" w:hAnsiTheme="minorEastAsia" w:eastAsiaTheme="minorEastAsia" w:cstheme="minorEastAsia"/>
          <w:b/>
          <w:bCs/>
          <w:sz w:val="21"/>
          <w:szCs w:val="21"/>
          <w:highlight w:val="none"/>
        </w:rPr>
        <w:instrText xml:space="preserve"> HYPERLINK \l _Toc29709 </w:instrText>
      </w:r>
      <w:r>
        <w:rPr>
          <w:rFonts w:hint="eastAsia" w:asciiTheme="minorEastAsia" w:hAnsiTheme="minorEastAsia" w:eastAsiaTheme="minorEastAsia" w:cstheme="minorEastAsia"/>
          <w:b/>
          <w:bCs/>
          <w:sz w:val="21"/>
          <w:szCs w:val="21"/>
          <w:highlight w:val="none"/>
        </w:rPr>
        <w:fldChar w:fldCharType="separate"/>
      </w:r>
      <w:r>
        <w:rPr>
          <w:rFonts w:hint="eastAsia" w:asciiTheme="minorEastAsia" w:hAnsiTheme="minorEastAsia" w:eastAsiaTheme="minorEastAsia" w:cstheme="minorEastAsia"/>
          <w:b/>
          <w:bCs/>
          <w:sz w:val="21"/>
          <w:szCs w:val="21"/>
          <w:lang w:val="en-US"/>
        </w:rPr>
        <w:t xml:space="preserve">二、 </w:t>
      </w:r>
      <w:r>
        <w:rPr>
          <w:rFonts w:hint="eastAsia" w:asciiTheme="minorEastAsia" w:hAnsiTheme="minorEastAsia" w:eastAsiaTheme="minorEastAsia" w:cstheme="minorEastAsia"/>
          <w:b/>
          <w:bCs/>
          <w:sz w:val="21"/>
          <w:szCs w:val="21"/>
          <w:highlight w:val="none"/>
        </w:rPr>
        <w:t>一般要求</w:t>
      </w:r>
      <w:r>
        <w:rPr>
          <w:rFonts w:hint="eastAsia" w:asciiTheme="minorEastAsia" w:hAnsiTheme="minorEastAsia" w:eastAsiaTheme="minorEastAsia" w:cstheme="minorEastAsia"/>
          <w:b/>
          <w:bCs/>
          <w:sz w:val="21"/>
          <w:szCs w:val="21"/>
        </w:rPr>
        <w:tab/>
      </w:r>
      <w:r>
        <w:rPr>
          <w:rFonts w:hint="eastAsia" w:asciiTheme="minorEastAsia" w:hAnsiTheme="minorEastAsia" w:eastAsiaTheme="minorEastAsia" w:cstheme="minorEastAsia"/>
          <w:b/>
          <w:bCs/>
          <w:sz w:val="21"/>
          <w:szCs w:val="21"/>
        </w:rPr>
        <w:fldChar w:fldCharType="begin"/>
      </w:r>
      <w:r>
        <w:rPr>
          <w:rFonts w:hint="eastAsia" w:asciiTheme="minorEastAsia" w:hAnsiTheme="minorEastAsia" w:eastAsiaTheme="minorEastAsia" w:cstheme="minorEastAsia"/>
          <w:b/>
          <w:bCs/>
          <w:sz w:val="21"/>
          <w:szCs w:val="21"/>
        </w:rPr>
        <w:instrText xml:space="preserve"> PAGEREF _Toc29709 </w:instrText>
      </w:r>
      <w:r>
        <w:rPr>
          <w:rFonts w:hint="eastAsia" w:asciiTheme="minorEastAsia" w:hAnsiTheme="minorEastAsia" w:eastAsiaTheme="minorEastAsia" w:cstheme="minorEastAsia"/>
          <w:b/>
          <w:bCs/>
          <w:sz w:val="21"/>
          <w:szCs w:val="21"/>
        </w:rPr>
        <w:fldChar w:fldCharType="separate"/>
      </w:r>
      <w:r>
        <w:rPr>
          <w:rFonts w:hint="eastAsia" w:asciiTheme="minorEastAsia" w:hAnsiTheme="minorEastAsia" w:eastAsiaTheme="minorEastAsia" w:cstheme="minorEastAsia"/>
          <w:b/>
          <w:bCs/>
          <w:sz w:val="21"/>
          <w:szCs w:val="21"/>
        </w:rPr>
        <w:t>6</w:t>
      </w:r>
      <w:r>
        <w:rPr>
          <w:rFonts w:hint="eastAsia" w:asciiTheme="minorEastAsia" w:hAnsiTheme="minorEastAsia" w:eastAsiaTheme="minorEastAsia" w:cstheme="minorEastAsia"/>
          <w:b/>
          <w:bCs/>
          <w:sz w:val="21"/>
          <w:szCs w:val="21"/>
        </w:rPr>
        <w:fldChar w:fldCharType="end"/>
      </w:r>
      <w:r>
        <w:rPr>
          <w:rFonts w:hint="eastAsia" w:asciiTheme="minorEastAsia" w:hAnsiTheme="minorEastAsia" w:eastAsiaTheme="minorEastAsia" w:cstheme="minorEastAsia"/>
          <w:b/>
          <w:bCs/>
          <w:sz w:val="21"/>
          <w:szCs w:val="21"/>
          <w:highlight w:val="none"/>
        </w:rPr>
        <w:fldChar w:fldCharType="end"/>
      </w:r>
    </w:p>
    <w:p>
      <w:pPr>
        <w:pStyle w:val="37"/>
        <w:tabs>
          <w:tab w:val="right" w:leader="dot" w:pos="9412"/>
          <w:tab w:val="clear" w:pos="9402"/>
        </w:tabs>
        <w:spacing w:line="48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highlight w:val="none"/>
        </w:rPr>
        <w:fldChar w:fldCharType="begin"/>
      </w:r>
      <w:r>
        <w:rPr>
          <w:rFonts w:hint="eastAsia" w:asciiTheme="minorEastAsia" w:hAnsiTheme="minorEastAsia" w:eastAsiaTheme="minorEastAsia" w:cstheme="minorEastAsia"/>
          <w:b/>
          <w:bCs/>
          <w:sz w:val="21"/>
          <w:szCs w:val="21"/>
          <w:highlight w:val="none"/>
        </w:rPr>
        <w:instrText xml:space="preserve"> HYPERLINK \l _Toc6965 </w:instrText>
      </w:r>
      <w:r>
        <w:rPr>
          <w:rFonts w:hint="eastAsia" w:asciiTheme="minorEastAsia" w:hAnsiTheme="minorEastAsia" w:eastAsiaTheme="minorEastAsia" w:cstheme="minorEastAsia"/>
          <w:b/>
          <w:bCs/>
          <w:sz w:val="21"/>
          <w:szCs w:val="21"/>
          <w:highlight w:val="none"/>
        </w:rPr>
        <w:fldChar w:fldCharType="separate"/>
      </w:r>
      <w:r>
        <w:rPr>
          <w:rFonts w:hint="eastAsia" w:asciiTheme="minorEastAsia" w:hAnsiTheme="minorEastAsia" w:eastAsiaTheme="minorEastAsia" w:cstheme="minorEastAsia"/>
          <w:b/>
          <w:bCs/>
          <w:sz w:val="21"/>
          <w:szCs w:val="21"/>
          <w:lang w:val="en-US"/>
        </w:rPr>
        <w:t xml:space="preserve">三、 </w:t>
      </w:r>
      <w:r>
        <w:rPr>
          <w:rFonts w:hint="eastAsia" w:asciiTheme="minorEastAsia" w:hAnsiTheme="minorEastAsia" w:eastAsiaTheme="minorEastAsia" w:cstheme="minorEastAsia"/>
          <w:b/>
          <w:bCs/>
          <w:sz w:val="21"/>
          <w:szCs w:val="21"/>
          <w:highlight w:val="none"/>
        </w:rPr>
        <w:t>竞争性磋商文件</w:t>
      </w:r>
      <w:r>
        <w:rPr>
          <w:rFonts w:hint="eastAsia" w:asciiTheme="minorEastAsia" w:hAnsiTheme="minorEastAsia" w:eastAsiaTheme="minorEastAsia" w:cstheme="minorEastAsia"/>
          <w:b/>
          <w:bCs/>
          <w:sz w:val="21"/>
          <w:szCs w:val="21"/>
        </w:rPr>
        <w:tab/>
      </w:r>
      <w:r>
        <w:rPr>
          <w:rFonts w:hint="eastAsia" w:asciiTheme="minorEastAsia" w:hAnsiTheme="minorEastAsia" w:eastAsiaTheme="minorEastAsia" w:cstheme="minorEastAsia"/>
          <w:b/>
          <w:bCs/>
          <w:sz w:val="21"/>
          <w:szCs w:val="21"/>
        </w:rPr>
        <w:fldChar w:fldCharType="begin"/>
      </w:r>
      <w:r>
        <w:rPr>
          <w:rFonts w:hint="eastAsia" w:asciiTheme="minorEastAsia" w:hAnsiTheme="minorEastAsia" w:eastAsiaTheme="minorEastAsia" w:cstheme="minorEastAsia"/>
          <w:b/>
          <w:bCs/>
          <w:sz w:val="21"/>
          <w:szCs w:val="21"/>
        </w:rPr>
        <w:instrText xml:space="preserve"> PAGEREF _Toc6965 </w:instrText>
      </w:r>
      <w:r>
        <w:rPr>
          <w:rFonts w:hint="eastAsia" w:asciiTheme="minorEastAsia" w:hAnsiTheme="minorEastAsia" w:eastAsiaTheme="minorEastAsia" w:cstheme="minorEastAsia"/>
          <w:b/>
          <w:bCs/>
          <w:sz w:val="21"/>
          <w:szCs w:val="21"/>
        </w:rPr>
        <w:fldChar w:fldCharType="separate"/>
      </w:r>
      <w:r>
        <w:rPr>
          <w:rFonts w:hint="eastAsia" w:asciiTheme="minorEastAsia" w:hAnsiTheme="minorEastAsia" w:eastAsiaTheme="minorEastAsia" w:cstheme="minorEastAsia"/>
          <w:b/>
          <w:bCs/>
          <w:sz w:val="21"/>
          <w:szCs w:val="21"/>
        </w:rPr>
        <w:t>6</w:t>
      </w:r>
      <w:r>
        <w:rPr>
          <w:rFonts w:hint="eastAsia" w:asciiTheme="minorEastAsia" w:hAnsiTheme="minorEastAsia" w:eastAsiaTheme="minorEastAsia" w:cstheme="minorEastAsia"/>
          <w:b/>
          <w:bCs/>
          <w:sz w:val="21"/>
          <w:szCs w:val="21"/>
        </w:rPr>
        <w:fldChar w:fldCharType="end"/>
      </w:r>
      <w:r>
        <w:rPr>
          <w:rFonts w:hint="eastAsia" w:asciiTheme="minorEastAsia" w:hAnsiTheme="minorEastAsia" w:eastAsiaTheme="minorEastAsia" w:cstheme="minorEastAsia"/>
          <w:b/>
          <w:bCs/>
          <w:sz w:val="21"/>
          <w:szCs w:val="21"/>
          <w:highlight w:val="none"/>
        </w:rPr>
        <w:fldChar w:fldCharType="end"/>
      </w:r>
    </w:p>
    <w:p>
      <w:pPr>
        <w:pStyle w:val="37"/>
        <w:tabs>
          <w:tab w:val="right" w:leader="dot" w:pos="9412"/>
          <w:tab w:val="clear" w:pos="9402"/>
        </w:tabs>
        <w:spacing w:line="48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highlight w:val="none"/>
        </w:rPr>
        <w:fldChar w:fldCharType="begin"/>
      </w:r>
      <w:r>
        <w:rPr>
          <w:rFonts w:hint="eastAsia" w:asciiTheme="minorEastAsia" w:hAnsiTheme="minorEastAsia" w:eastAsiaTheme="minorEastAsia" w:cstheme="minorEastAsia"/>
          <w:b/>
          <w:bCs/>
          <w:sz w:val="21"/>
          <w:szCs w:val="21"/>
          <w:highlight w:val="none"/>
        </w:rPr>
        <w:instrText xml:space="preserve"> HYPERLINK \l _Toc5542 </w:instrText>
      </w:r>
      <w:r>
        <w:rPr>
          <w:rFonts w:hint="eastAsia" w:asciiTheme="minorEastAsia" w:hAnsiTheme="minorEastAsia" w:eastAsiaTheme="minorEastAsia" w:cstheme="minorEastAsia"/>
          <w:b/>
          <w:bCs/>
          <w:sz w:val="21"/>
          <w:szCs w:val="21"/>
          <w:highlight w:val="none"/>
        </w:rPr>
        <w:fldChar w:fldCharType="separate"/>
      </w:r>
      <w:r>
        <w:rPr>
          <w:rFonts w:hint="eastAsia" w:asciiTheme="minorEastAsia" w:hAnsiTheme="minorEastAsia" w:eastAsiaTheme="minorEastAsia" w:cstheme="minorEastAsia"/>
          <w:b/>
          <w:bCs/>
          <w:sz w:val="21"/>
          <w:szCs w:val="21"/>
          <w:lang w:val="en-US"/>
        </w:rPr>
        <w:t xml:space="preserve">四、 </w:t>
      </w:r>
      <w:r>
        <w:rPr>
          <w:rFonts w:hint="eastAsia" w:asciiTheme="minorEastAsia" w:hAnsiTheme="minorEastAsia" w:eastAsiaTheme="minorEastAsia" w:cstheme="minorEastAsia"/>
          <w:b/>
          <w:bCs/>
          <w:sz w:val="21"/>
          <w:szCs w:val="21"/>
          <w:highlight w:val="none"/>
        </w:rPr>
        <w:t>询问与异议</w:t>
      </w:r>
      <w:r>
        <w:rPr>
          <w:rFonts w:hint="eastAsia" w:asciiTheme="minorEastAsia" w:hAnsiTheme="minorEastAsia" w:eastAsiaTheme="minorEastAsia" w:cstheme="minorEastAsia"/>
          <w:b/>
          <w:bCs/>
          <w:sz w:val="21"/>
          <w:szCs w:val="21"/>
        </w:rPr>
        <w:tab/>
      </w:r>
      <w:r>
        <w:rPr>
          <w:rFonts w:hint="eastAsia" w:asciiTheme="minorEastAsia" w:hAnsiTheme="minorEastAsia" w:eastAsiaTheme="minorEastAsia" w:cstheme="minorEastAsia"/>
          <w:b/>
          <w:bCs/>
          <w:sz w:val="21"/>
          <w:szCs w:val="21"/>
        </w:rPr>
        <w:fldChar w:fldCharType="begin"/>
      </w:r>
      <w:r>
        <w:rPr>
          <w:rFonts w:hint="eastAsia" w:asciiTheme="minorEastAsia" w:hAnsiTheme="minorEastAsia" w:eastAsiaTheme="minorEastAsia" w:cstheme="minorEastAsia"/>
          <w:b/>
          <w:bCs/>
          <w:sz w:val="21"/>
          <w:szCs w:val="21"/>
        </w:rPr>
        <w:instrText xml:space="preserve"> PAGEREF _Toc5542 </w:instrText>
      </w:r>
      <w:r>
        <w:rPr>
          <w:rFonts w:hint="eastAsia" w:asciiTheme="minorEastAsia" w:hAnsiTheme="minorEastAsia" w:eastAsiaTheme="minorEastAsia" w:cstheme="minorEastAsia"/>
          <w:b/>
          <w:bCs/>
          <w:sz w:val="21"/>
          <w:szCs w:val="21"/>
        </w:rPr>
        <w:fldChar w:fldCharType="separate"/>
      </w:r>
      <w:r>
        <w:rPr>
          <w:rFonts w:hint="eastAsia" w:asciiTheme="minorEastAsia" w:hAnsiTheme="minorEastAsia" w:eastAsiaTheme="minorEastAsia" w:cstheme="minorEastAsia"/>
          <w:b/>
          <w:bCs/>
          <w:sz w:val="21"/>
          <w:szCs w:val="21"/>
        </w:rPr>
        <w:t>7</w:t>
      </w:r>
      <w:r>
        <w:rPr>
          <w:rFonts w:hint="eastAsia" w:asciiTheme="minorEastAsia" w:hAnsiTheme="minorEastAsia" w:eastAsiaTheme="minorEastAsia" w:cstheme="minorEastAsia"/>
          <w:b/>
          <w:bCs/>
          <w:sz w:val="21"/>
          <w:szCs w:val="21"/>
        </w:rPr>
        <w:fldChar w:fldCharType="end"/>
      </w:r>
      <w:r>
        <w:rPr>
          <w:rFonts w:hint="eastAsia" w:asciiTheme="minorEastAsia" w:hAnsiTheme="minorEastAsia" w:eastAsiaTheme="minorEastAsia" w:cstheme="minorEastAsia"/>
          <w:b/>
          <w:bCs/>
          <w:sz w:val="21"/>
          <w:szCs w:val="21"/>
          <w:highlight w:val="none"/>
        </w:rPr>
        <w:fldChar w:fldCharType="end"/>
      </w:r>
    </w:p>
    <w:p>
      <w:pPr>
        <w:pStyle w:val="37"/>
        <w:tabs>
          <w:tab w:val="right" w:leader="dot" w:pos="9412"/>
          <w:tab w:val="clear" w:pos="9402"/>
        </w:tabs>
        <w:spacing w:line="48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highlight w:val="none"/>
        </w:rPr>
        <w:fldChar w:fldCharType="begin"/>
      </w:r>
      <w:r>
        <w:rPr>
          <w:rFonts w:hint="eastAsia" w:asciiTheme="minorEastAsia" w:hAnsiTheme="minorEastAsia" w:eastAsiaTheme="minorEastAsia" w:cstheme="minorEastAsia"/>
          <w:b/>
          <w:bCs/>
          <w:sz w:val="21"/>
          <w:szCs w:val="21"/>
          <w:highlight w:val="none"/>
        </w:rPr>
        <w:instrText xml:space="preserve"> HYPERLINK \l _Toc18316 </w:instrText>
      </w:r>
      <w:r>
        <w:rPr>
          <w:rFonts w:hint="eastAsia" w:asciiTheme="minorEastAsia" w:hAnsiTheme="minorEastAsia" w:eastAsiaTheme="minorEastAsia" w:cstheme="minorEastAsia"/>
          <w:b/>
          <w:bCs/>
          <w:sz w:val="21"/>
          <w:szCs w:val="21"/>
          <w:highlight w:val="none"/>
        </w:rPr>
        <w:fldChar w:fldCharType="separate"/>
      </w:r>
      <w:r>
        <w:rPr>
          <w:rFonts w:hint="eastAsia" w:asciiTheme="minorEastAsia" w:hAnsiTheme="minorEastAsia" w:eastAsiaTheme="minorEastAsia" w:cstheme="minorEastAsia"/>
          <w:b/>
          <w:bCs/>
          <w:sz w:val="21"/>
          <w:szCs w:val="21"/>
          <w:lang w:val="en-US"/>
        </w:rPr>
        <w:t xml:space="preserve">五、 </w:t>
      </w:r>
      <w:r>
        <w:rPr>
          <w:rFonts w:hint="eastAsia" w:asciiTheme="minorEastAsia" w:hAnsiTheme="minorEastAsia" w:eastAsiaTheme="minorEastAsia" w:cstheme="minorEastAsia"/>
          <w:b/>
          <w:bCs/>
          <w:sz w:val="21"/>
          <w:szCs w:val="21"/>
          <w:highlight w:val="none"/>
        </w:rPr>
        <w:t>合同的订立和履行</w:t>
      </w:r>
      <w:r>
        <w:rPr>
          <w:rFonts w:hint="eastAsia" w:asciiTheme="minorEastAsia" w:hAnsiTheme="minorEastAsia" w:eastAsiaTheme="minorEastAsia" w:cstheme="minorEastAsia"/>
          <w:b/>
          <w:bCs/>
          <w:sz w:val="21"/>
          <w:szCs w:val="21"/>
        </w:rPr>
        <w:tab/>
      </w:r>
      <w:r>
        <w:rPr>
          <w:rFonts w:hint="eastAsia" w:asciiTheme="minorEastAsia" w:hAnsiTheme="minorEastAsia" w:eastAsiaTheme="minorEastAsia" w:cstheme="minorEastAsia"/>
          <w:b/>
          <w:bCs/>
          <w:sz w:val="21"/>
          <w:szCs w:val="21"/>
        </w:rPr>
        <w:fldChar w:fldCharType="begin"/>
      </w:r>
      <w:r>
        <w:rPr>
          <w:rFonts w:hint="eastAsia" w:asciiTheme="minorEastAsia" w:hAnsiTheme="minorEastAsia" w:eastAsiaTheme="minorEastAsia" w:cstheme="minorEastAsia"/>
          <w:b/>
          <w:bCs/>
          <w:sz w:val="21"/>
          <w:szCs w:val="21"/>
        </w:rPr>
        <w:instrText xml:space="preserve"> PAGEREF _Toc18316 </w:instrText>
      </w:r>
      <w:r>
        <w:rPr>
          <w:rFonts w:hint="eastAsia" w:asciiTheme="minorEastAsia" w:hAnsiTheme="minorEastAsia" w:eastAsiaTheme="minorEastAsia" w:cstheme="minorEastAsia"/>
          <w:b/>
          <w:bCs/>
          <w:sz w:val="21"/>
          <w:szCs w:val="21"/>
        </w:rPr>
        <w:fldChar w:fldCharType="separate"/>
      </w:r>
      <w:r>
        <w:rPr>
          <w:rFonts w:hint="eastAsia" w:asciiTheme="minorEastAsia" w:hAnsiTheme="minorEastAsia" w:eastAsiaTheme="minorEastAsia" w:cstheme="minorEastAsia"/>
          <w:b/>
          <w:bCs/>
          <w:sz w:val="21"/>
          <w:szCs w:val="21"/>
        </w:rPr>
        <w:t>8</w:t>
      </w:r>
      <w:r>
        <w:rPr>
          <w:rFonts w:hint="eastAsia" w:asciiTheme="minorEastAsia" w:hAnsiTheme="minorEastAsia" w:eastAsiaTheme="minorEastAsia" w:cstheme="minorEastAsia"/>
          <w:b/>
          <w:bCs/>
          <w:sz w:val="21"/>
          <w:szCs w:val="21"/>
        </w:rPr>
        <w:fldChar w:fldCharType="end"/>
      </w:r>
      <w:r>
        <w:rPr>
          <w:rFonts w:hint="eastAsia" w:asciiTheme="minorEastAsia" w:hAnsiTheme="minorEastAsia" w:eastAsiaTheme="minorEastAsia" w:cstheme="minorEastAsia"/>
          <w:b/>
          <w:bCs/>
          <w:sz w:val="21"/>
          <w:szCs w:val="21"/>
          <w:highlight w:val="none"/>
        </w:rPr>
        <w:fldChar w:fldCharType="end"/>
      </w:r>
    </w:p>
    <w:p>
      <w:pPr>
        <w:pStyle w:val="37"/>
        <w:tabs>
          <w:tab w:val="right" w:leader="dot" w:pos="9412"/>
          <w:tab w:val="clear" w:pos="9402"/>
        </w:tabs>
        <w:spacing w:line="48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highlight w:val="none"/>
        </w:rPr>
        <w:fldChar w:fldCharType="begin"/>
      </w:r>
      <w:r>
        <w:rPr>
          <w:rFonts w:hint="eastAsia" w:asciiTheme="minorEastAsia" w:hAnsiTheme="minorEastAsia" w:eastAsiaTheme="minorEastAsia" w:cstheme="minorEastAsia"/>
          <w:b/>
          <w:bCs/>
          <w:sz w:val="21"/>
          <w:szCs w:val="21"/>
          <w:highlight w:val="none"/>
        </w:rPr>
        <w:instrText xml:space="preserve"> HYPERLINK \l _Toc15196 </w:instrText>
      </w:r>
      <w:r>
        <w:rPr>
          <w:rFonts w:hint="eastAsia" w:asciiTheme="minorEastAsia" w:hAnsiTheme="minorEastAsia" w:eastAsiaTheme="minorEastAsia" w:cstheme="minorEastAsia"/>
          <w:b/>
          <w:bCs/>
          <w:sz w:val="21"/>
          <w:szCs w:val="21"/>
          <w:highlight w:val="none"/>
        </w:rPr>
        <w:fldChar w:fldCharType="separate"/>
      </w:r>
      <w:r>
        <w:rPr>
          <w:rFonts w:hint="eastAsia" w:asciiTheme="minorEastAsia" w:hAnsiTheme="minorEastAsia" w:eastAsiaTheme="minorEastAsia" w:cstheme="minorEastAsia"/>
          <w:b/>
          <w:bCs/>
          <w:sz w:val="21"/>
          <w:szCs w:val="21"/>
          <w:lang w:val="en-US"/>
        </w:rPr>
        <w:t xml:space="preserve">六、 </w:t>
      </w:r>
      <w:r>
        <w:rPr>
          <w:rFonts w:hint="eastAsia" w:asciiTheme="minorEastAsia" w:hAnsiTheme="minorEastAsia" w:eastAsiaTheme="minorEastAsia" w:cstheme="minorEastAsia"/>
          <w:b/>
          <w:bCs/>
          <w:sz w:val="21"/>
          <w:szCs w:val="21"/>
          <w:highlight w:val="none"/>
        </w:rPr>
        <w:t>响应文件</w:t>
      </w:r>
      <w:r>
        <w:rPr>
          <w:rFonts w:hint="eastAsia" w:asciiTheme="minorEastAsia" w:hAnsiTheme="minorEastAsia" w:eastAsiaTheme="minorEastAsia" w:cstheme="minorEastAsia"/>
          <w:b/>
          <w:bCs/>
          <w:sz w:val="21"/>
          <w:szCs w:val="21"/>
        </w:rPr>
        <w:tab/>
      </w:r>
      <w:r>
        <w:rPr>
          <w:rFonts w:hint="eastAsia" w:asciiTheme="minorEastAsia" w:hAnsiTheme="minorEastAsia" w:eastAsiaTheme="minorEastAsia" w:cstheme="minorEastAsia"/>
          <w:b/>
          <w:bCs/>
          <w:sz w:val="21"/>
          <w:szCs w:val="21"/>
        </w:rPr>
        <w:fldChar w:fldCharType="begin"/>
      </w:r>
      <w:r>
        <w:rPr>
          <w:rFonts w:hint="eastAsia" w:asciiTheme="minorEastAsia" w:hAnsiTheme="minorEastAsia" w:eastAsiaTheme="minorEastAsia" w:cstheme="minorEastAsia"/>
          <w:b/>
          <w:bCs/>
          <w:sz w:val="21"/>
          <w:szCs w:val="21"/>
        </w:rPr>
        <w:instrText xml:space="preserve"> PAGEREF _Toc15196 </w:instrText>
      </w:r>
      <w:r>
        <w:rPr>
          <w:rFonts w:hint="eastAsia" w:asciiTheme="minorEastAsia" w:hAnsiTheme="minorEastAsia" w:eastAsiaTheme="minorEastAsia" w:cstheme="minorEastAsia"/>
          <w:b/>
          <w:bCs/>
          <w:sz w:val="21"/>
          <w:szCs w:val="21"/>
        </w:rPr>
        <w:fldChar w:fldCharType="separate"/>
      </w:r>
      <w:r>
        <w:rPr>
          <w:rFonts w:hint="eastAsia" w:asciiTheme="minorEastAsia" w:hAnsiTheme="minorEastAsia" w:eastAsiaTheme="minorEastAsia" w:cstheme="minorEastAsia"/>
          <w:b/>
          <w:bCs/>
          <w:sz w:val="21"/>
          <w:szCs w:val="21"/>
        </w:rPr>
        <w:t>9</w:t>
      </w:r>
      <w:r>
        <w:rPr>
          <w:rFonts w:hint="eastAsia" w:asciiTheme="minorEastAsia" w:hAnsiTheme="minorEastAsia" w:eastAsiaTheme="minorEastAsia" w:cstheme="minorEastAsia"/>
          <w:b/>
          <w:bCs/>
          <w:sz w:val="21"/>
          <w:szCs w:val="21"/>
        </w:rPr>
        <w:fldChar w:fldCharType="end"/>
      </w:r>
      <w:r>
        <w:rPr>
          <w:rFonts w:hint="eastAsia" w:asciiTheme="minorEastAsia" w:hAnsiTheme="minorEastAsia" w:eastAsiaTheme="minorEastAsia" w:cstheme="minorEastAsia"/>
          <w:b/>
          <w:bCs/>
          <w:sz w:val="21"/>
          <w:szCs w:val="21"/>
          <w:highlight w:val="none"/>
        </w:rPr>
        <w:fldChar w:fldCharType="end"/>
      </w:r>
    </w:p>
    <w:p>
      <w:pPr>
        <w:pStyle w:val="37"/>
        <w:tabs>
          <w:tab w:val="right" w:leader="dot" w:pos="9412"/>
          <w:tab w:val="clear" w:pos="9402"/>
        </w:tabs>
        <w:spacing w:line="48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highlight w:val="none"/>
        </w:rPr>
        <w:fldChar w:fldCharType="begin"/>
      </w:r>
      <w:r>
        <w:rPr>
          <w:rFonts w:hint="eastAsia" w:asciiTheme="minorEastAsia" w:hAnsiTheme="minorEastAsia" w:eastAsiaTheme="minorEastAsia" w:cstheme="minorEastAsia"/>
          <w:b/>
          <w:bCs/>
          <w:sz w:val="21"/>
          <w:szCs w:val="21"/>
          <w:highlight w:val="none"/>
        </w:rPr>
        <w:instrText xml:space="preserve"> HYPERLINK \l _Toc32111 </w:instrText>
      </w:r>
      <w:r>
        <w:rPr>
          <w:rFonts w:hint="eastAsia" w:asciiTheme="minorEastAsia" w:hAnsiTheme="minorEastAsia" w:eastAsiaTheme="minorEastAsia" w:cstheme="minorEastAsia"/>
          <w:b/>
          <w:bCs/>
          <w:sz w:val="21"/>
          <w:szCs w:val="21"/>
          <w:highlight w:val="none"/>
        </w:rPr>
        <w:fldChar w:fldCharType="separate"/>
      </w:r>
      <w:r>
        <w:rPr>
          <w:rFonts w:hint="eastAsia" w:asciiTheme="minorEastAsia" w:hAnsiTheme="minorEastAsia" w:eastAsiaTheme="minorEastAsia" w:cstheme="minorEastAsia"/>
          <w:b/>
          <w:bCs/>
          <w:sz w:val="21"/>
          <w:szCs w:val="21"/>
          <w:lang w:val="en-US"/>
        </w:rPr>
        <w:t xml:space="preserve">七、 </w:t>
      </w:r>
      <w:r>
        <w:rPr>
          <w:rFonts w:hint="eastAsia" w:asciiTheme="minorEastAsia" w:hAnsiTheme="minorEastAsia" w:eastAsiaTheme="minorEastAsia" w:cstheme="minorEastAsia"/>
          <w:b/>
          <w:bCs/>
          <w:sz w:val="21"/>
          <w:szCs w:val="21"/>
          <w:highlight w:val="none"/>
        </w:rPr>
        <w:t>适用法律</w:t>
      </w:r>
      <w:r>
        <w:rPr>
          <w:rFonts w:hint="eastAsia" w:asciiTheme="minorEastAsia" w:hAnsiTheme="minorEastAsia" w:eastAsiaTheme="minorEastAsia" w:cstheme="minorEastAsia"/>
          <w:b/>
          <w:bCs/>
          <w:sz w:val="21"/>
          <w:szCs w:val="21"/>
        </w:rPr>
        <w:tab/>
      </w:r>
      <w:r>
        <w:rPr>
          <w:rFonts w:hint="eastAsia" w:asciiTheme="minorEastAsia" w:hAnsiTheme="minorEastAsia" w:eastAsiaTheme="minorEastAsia" w:cstheme="minorEastAsia"/>
          <w:b/>
          <w:bCs/>
          <w:sz w:val="21"/>
          <w:szCs w:val="21"/>
        </w:rPr>
        <w:fldChar w:fldCharType="begin"/>
      </w:r>
      <w:r>
        <w:rPr>
          <w:rFonts w:hint="eastAsia" w:asciiTheme="minorEastAsia" w:hAnsiTheme="minorEastAsia" w:eastAsiaTheme="minorEastAsia" w:cstheme="minorEastAsia"/>
          <w:b/>
          <w:bCs/>
          <w:sz w:val="21"/>
          <w:szCs w:val="21"/>
        </w:rPr>
        <w:instrText xml:space="preserve"> PAGEREF _Toc32111 </w:instrText>
      </w:r>
      <w:r>
        <w:rPr>
          <w:rFonts w:hint="eastAsia" w:asciiTheme="minorEastAsia" w:hAnsiTheme="minorEastAsia" w:eastAsiaTheme="minorEastAsia" w:cstheme="minorEastAsia"/>
          <w:b/>
          <w:bCs/>
          <w:sz w:val="21"/>
          <w:szCs w:val="21"/>
        </w:rPr>
        <w:fldChar w:fldCharType="separate"/>
      </w:r>
      <w:r>
        <w:rPr>
          <w:rFonts w:hint="eastAsia" w:asciiTheme="minorEastAsia" w:hAnsiTheme="minorEastAsia" w:eastAsiaTheme="minorEastAsia" w:cstheme="minorEastAsia"/>
          <w:b/>
          <w:bCs/>
          <w:sz w:val="21"/>
          <w:szCs w:val="21"/>
        </w:rPr>
        <w:t>11</w:t>
      </w:r>
      <w:r>
        <w:rPr>
          <w:rFonts w:hint="eastAsia" w:asciiTheme="minorEastAsia" w:hAnsiTheme="minorEastAsia" w:eastAsiaTheme="minorEastAsia" w:cstheme="minorEastAsia"/>
          <w:b/>
          <w:bCs/>
          <w:sz w:val="21"/>
          <w:szCs w:val="21"/>
        </w:rPr>
        <w:fldChar w:fldCharType="end"/>
      </w:r>
      <w:r>
        <w:rPr>
          <w:rFonts w:hint="eastAsia" w:asciiTheme="minorEastAsia" w:hAnsiTheme="minorEastAsia" w:eastAsiaTheme="minorEastAsia" w:cstheme="minorEastAsia"/>
          <w:b/>
          <w:bCs/>
          <w:sz w:val="21"/>
          <w:szCs w:val="21"/>
          <w:highlight w:val="none"/>
        </w:rPr>
        <w:fldChar w:fldCharType="end"/>
      </w:r>
    </w:p>
    <w:p>
      <w:pPr>
        <w:pStyle w:val="31"/>
        <w:tabs>
          <w:tab w:val="right" w:leader="dot" w:pos="9412"/>
          <w:tab w:val="clear" w:pos="9402"/>
        </w:tabs>
        <w:spacing w:line="48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highlight w:val="none"/>
        </w:rPr>
        <w:fldChar w:fldCharType="begin"/>
      </w:r>
      <w:r>
        <w:rPr>
          <w:rFonts w:hint="eastAsia" w:asciiTheme="minorEastAsia" w:hAnsiTheme="minorEastAsia" w:eastAsiaTheme="minorEastAsia" w:cstheme="minorEastAsia"/>
          <w:b/>
          <w:bCs/>
          <w:sz w:val="21"/>
          <w:szCs w:val="21"/>
          <w:highlight w:val="none"/>
        </w:rPr>
        <w:instrText xml:space="preserve"> HYPERLINK \l _Toc21633 </w:instrText>
      </w:r>
      <w:r>
        <w:rPr>
          <w:rFonts w:hint="eastAsia" w:asciiTheme="minorEastAsia" w:hAnsiTheme="minorEastAsia" w:eastAsiaTheme="minorEastAsia" w:cstheme="minorEastAsia"/>
          <w:b/>
          <w:bCs/>
          <w:sz w:val="21"/>
          <w:szCs w:val="21"/>
          <w:highlight w:val="none"/>
        </w:rPr>
        <w:fldChar w:fldCharType="separate"/>
      </w:r>
      <w:r>
        <w:rPr>
          <w:rFonts w:hint="eastAsia" w:asciiTheme="minorEastAsia" w:hAnsiTheme="minorEastAsia" w:eastAsiaTheme="minorEastAsia" w:cstheme="minorEastAsia"/>
          <w:b/>
          <w:bCs/>
          <w:sz w:val="21"/>
          <w:szCs w:val="21"/>
          <w:highlight w:val="none"/>
        </w:rPr>
        <w:t xml:space="preserve">第二章 </w:t>
      </w:r>
      <w:r>
        <w:rPr>
          <w:rFonts w:hint="eastAsia" w:asciiTheme="minorEastAsia" w:hAnsiTheme="minorEastAsia" w:eastAsiaTheme="minorEastAsia" w:cstheme="minorEastAsia"/>
          <w:b/>
          <w:bCs/>
          <w:sz w:val="21"/>
          <w:szCs w:val="21"/>
          <w:highlight w:val="none"/>
          <w:lang w:val="en-US" w:eastAsia="zh-CN"/>
        </w:rPr>
        <w:t>用户</w:t>
      </w:r>
      <w:r>
        <w:rPr>
          <w:rFonts w:hint="eastAsia" w:asciiTheme="minorEastAsia" w:hAnsiTheme="minorEastAsia" w:eastAsiaTheme="minorEastAsia" w:cstheme="minorEastAsia"/>
          <w:b/>
          <w:bCs/>
          <w:sz w:val="21"/>
          <w:szCs w:val="21"/>
          <w:highlight w:val="none"/>
        </w:rPr>
        <w:t>需求书</w:t>
      </w:r>
      <w:r>
        <w:rPr>
          <w:rFonts w:hint="eastAsia" w:asciiTheme="minorEastAsia" w:hAnsiTheme="minorEastAsia" w:eastAsiaTheme="minorEastAsia" w:cstheme="minorEastAsia"/>
          <w:b/>
          <w:bCs/>
          <w:sz w:val="21"/>
          <w:szCs w:val="21"/>
        </w:rPr>
        <w:tab/>
      </w:r>
      <w:r>
        <w:rPr>
          <w:rFonts w:hint="eastAsia" w:asciiTheme="minorEastAsia" w:hAnsiTheme="minorEastAsia" w:eastAsiaTheme="minorEastAsia" w:cstheme="minorEastAsia"/>
          <w:b/>
          <w:bCs/>
          <w:sz w:val="21"/>
          <w:szCs w:val="21"/>
        </w:rPr>
        <w:fldChar w:fldCharType="begin"/>
      </w:r>
      <w:r>
        <w:rPr>
          <w:rFonts w:hint="eastAsia" w:asciiTheme="minorEastAsia" w:hAnsiTheme="minorEastAsia" w:eastAsiaTheme="minorEastAsia" w:cstheme="minorEastAsia"/>
          <w:b/>
          <w:bCs/>
          <w:sz w:val="21"/>
          <w:szCs w:val="21"/>
        </w:rPr>
        <w:instrText xml:space="preserve"> PAGEREF _Toc21633 </w:instrText>
      </w:r>
      <w:r>
        <w:rPr>
          <w:rFonts w:hint="eastAsia" w:asciiTheme="minorEastAsia" w:hAnsiTheme="minorEastAsia" w:eastAsiaTheme="minorEastAsia" w:cstheme="minorEastAsia"/>
          <w:b/>
          <w:bCs/>
          <w:sz w:val="21"/>
          <w:szCs w:val="21"/>
        </w:rPr>
        <w:fldChar w:fldCharType="separate"/>
      </w:r>
      <w:r>
        <w:rPr>
          <w:rFonts w:hint="eastAsia" w:asciiTheme="minorEastAsia" w:hAnsiTheme="minorEastAsia" w:eastAsiaTheme="minorEastAsia" w:cstheme="minorEastAsia"/>
          <w:b/>
          <w:bCs/>
          <w:sz w:val="21"/>
          <w:szCs w:val="21"/>
        </w:rPr>
        <w:t>12</w:t>
      </w:r>
      <w:r>
        <w:rPr>
          <w:rFonts w:hint="eastAsia" w:asciiTheme="minorEastAsia" w:hAnsiTheme="minorEastAsia" w:eastAsiaTheme="minorEastAsia" w:cstheme="minorEastAsia"/>
          <w:b/>
          <w:bCs/>
          <w:sz w:val="21"/>
          <w:szCs w:val="21"/>
        </w:rPr>
        <w:fldChar w:fldCharType="end"/>
      </w:r>
      <w:r>
        <w:rPr>
          <w:rFonts w:hint="eastAsia" w:asciiTheme="minorEastAsia" w:hAnsiTheme="minorEastAsia" w:eastAsiaTheme="minorEastAsia" w:cstheme="minorEastAsia"/>
          <w:b/>
          <w:bCs/>
          <w:sz w:val="21"/>
          <w:szCs w:val="21"/>
          <w:highlight w:val="none"/>
        </w:rPr>
        <w:fldChar w:fldCharType="end"/>
      </w:r>
    </w:p>
    <w:p>
      <w:pPr>
        <w:pStyle w:val="31"/>
        <w:tabs>
          <w:tab w:val="right" w:leader="dot" w:pos="9412"/>
          <w:tab w:val="clear" w:pos="9402"/>
        </w:tabs>
        <w:spacing w:line="48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highlight w:val="none"/>
        </w:rPr>
        <w:fldChar w:fldCharType="begin"/>
      </w:r>
      <w:r>
        <w:rPr>
          <w:rFonts w:hint="eastAsia" w:asciiTheme="minorEastAsia" w:hAnsiTheme="minorEastAsia" w:eastAsiaTheme="minorEastAsia" w:cstheme="minorEastAsia"/>
          <w:b/>
          <w:bCs/>
          <w:sz w:val="21"/>
          <w:szCs w:val="21"/>
          <w:highlight w:val="none"/>
        </w:rPr>
        <w:instrText xml:space="preserve"> HYPERLINK \l _Toc23335 </w:instrText>
      </w:r>
      <w:r>
        <w:rPr>
          <w:rFonts w:hint="eastAsia" w:asciiTheme="minorEastAsia" w:hAnsiTheme="minorEastAsia" w:eastAsiaTheme="minorEastAsia" w:cstheme="minorEastAsia"/>
          <w:b/>
          <w:bCs/>
          <w:sz w:val="21"/>
          <w:szCs w:val="21"/>
          <w:highlight w:val="none"/>
        </w:rPr>
        <w:fldChar w:fldCharType="separate"/>
      </w:r>
      <w:r>
        <w:rPr>
          <w:rFonts w:hint="eastAsia" w:asciiTheme="minorEastAsia" w:hAnsiTheme="minorEastAsia" w:eastAsiaTheme="minorEastAsia" w:cstheme="minorEastAsia"/>
          <w:b/>
          <w:bCs/>
          <w:sz w:val="21"/>
          <w:szCs w:val="21"/>
          <w:highlight w:val="none"/>
        </w:rPr>
        <w:t>第三章 合同格式</w:t>
      </w:r>
      <w:r>
        <w:rPr>
          <w:rFonts w:hint="eastAsia" w:asciiTheme="minorEastAsia" w:hAnsiTheme="minorEastAsia" w:eastAsiaTheme="minorEastAsia" w:cstheme="minorEastAsia"/>
          <w:b/>
          <w:bCs/>
          <w:sz w:val="21"/>
          <w:szCs w:val="21"/>
        </w:rPr>
        <w:tab/>
      </w:r>
      <w:r>
        <w:rPr>
          <w:rFonts w:hint="eastAsia" w:asciiTheme="minorEastAsia" w:hAnsiTheme="minorEastAsia" w:eastAsiaTheme="minorEastAsia" w:cstheme="minorEastAsia"/>
          <w:b/>
          <w:bCs/>
          <w:sz w:val="21"/>
          <w:szCs w:val="21"/>
        </w:rPr>
        <w:fldChar w:fldCharType="begin"/>
      </w:r>
      <w:r>
        <w:rPr>
          <w:rFonts w:hint="eastAsia" w:asciiTheme="minorEastAsia" w:hAnsiTheme="minorEastAsia" w:eastAsiaTheme="minorEastAsia" w:cstheme="minorEastAsia"/>
          <w:b/>
          <w:bCs/>
          <w:sz w:val="21"/>
          <w:szCs w:val="21"/>
        </w:rPr>
        <w:instrText xml:space="preserve"> PAGEREF _Toc23335 </w:instrText>
      </w:r>
      <w:r>
        <w:rPr>
          <w:rFonts w:hint="eastAsia" w:asciiTheme="minorEastAsia" w:hAnsiTheme="minorEastAsia" w:eastAsiaTheme="minorEastAsia" w:cstheme="minorEastAsia"/>
          <w:b/>
          <w:bCs/>
          <w:sz w:val="21"/>
          <w:szCs w:val="21"/>
        </w:rPr>
        <w:fldChar w:fldCharType="separate"/>
      </w:r>
      <w:r>
        <w:rPr>
          <w:rFonts w:hint="eastAsia" w:asciiTheme="minorEastAsia" w:hAnsiTheme="minorEastAsia" w:eastAsiaTheme="minorEastAsia" w:cstheme="minorEastAsia"/>
          <w:b/>
          <w:bCs/>
          <w:sz w:val="21"/>
          <w:szCs w:val="21"/>
        </w:rPr>
        <w:t>19</w:t>
      </w:r>
      <w:r>
        <w:rPr>
          <w:rFonts w:hint="eastAsia" w:asciiTheme="minorEastAsia" w:hAnsiTheme="minorEastAsia" w:eastAsiaTheme="minorEastAsia" w:cstheme="minorEastAsia"/>
          <w:b/>
          <w:bCs/>
          <w:sz w:val="21"/>
          <w:szCs w:val="21"/>
        </w:rPr>
        <w:fldChar w:fldCharType="end"/>
      </w:r>
      <w:r>
        <w:rPr>
          <w:rFonts w:hint="eastAsia" w:asciiTheme="minorEastAsia" w:hAnsiTheme="minorEastAsia" w:eastAsiaTheme="minorEastAsia" w:cstheme="minorEastAsia"/>
          <w:b/>
          <w:bCs/>
          <w:sz w:val="21"/>
          <w:szCs w:val="21"/>
          <w:highlight w:val="none"/>
        </w:rPr>
        <w:fldChar w:fldCharType="end"/>
      </w:r>
    </w:p>
    <w:p>
      <w:pPr>
        <w:pStyle w:val="31"/>
        <w:tabs>
          <w:tab w:val="right" w:leader="dot" w:pos="9412"/>
          <w:tab w:val="clear" w:pos="9402"/>
        </w:tabs>
        <w:spacing w:line="48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highlight w:val="none"/>
        </w:rPr>
        <w:fldChar w:fldCharType="begin"/>
      </w:r>
      <w:r>
        <w:rPr>
          <w:rFonts w:hint="eastAsia" w:asciiTheme="minorEastAsia" w:hAnsiTheme="minorEastAsia" w:eastAsiaTheme="minorEastAsia" w:cstheme="minorEastAsia"/>
          <w:b/>
          <w:bCs/>
          <w:sz w:val="21"/>
          <w:szCs w:val="21"/>
          <w:highlight w:val="none"/>
        </w:rPr>
        <w:instrText xml:space="preserve"> HYPERLINK \l _Toc25145 </w:instrText>
      </w:r>
      <w:r>
        <w:rPr>
          <w:rFonts w:hint="eastAsia" w:asciiTheme="minorEastAsia" w:hAnsiTheme="minorEastAsia" w:eastAsiaTheme="minorEastAsia" w:cstheme="minorEastAsia"/>
          <w:b/>
          <w:bCs/>
          <w:sz w:val="21"/>
          <w:szCs w:val="21"/>
          <w:highlight w:val="none"/>
        </w:rPr>
        <w:fldChar w:fldCharType="separate"/>
      </w:r>
      <w:r>
        <w:rPr>
          <w:rFonts w:hint="eastAsia" w:asciiTheme="minorEastAsia" w:hAnsiTheme="minorEastAsia" w:eastAsiaTheme="minorEastAsia" w:cstheme="minorEastAsia"/>
          <w:b/>
          <w:bCs/>
          <w:sz w:val="21"/>
          <w:szCs w:val="21"/>
          <w:highlight w:val="none"/>
        </w:rPr>
        <w:t>第四章 评审办法及程序</w:t>
      </w:r>
      <w:r>
        <w:rPr>
          <w:rFonts w:hint="eastAsia" w:asciiTheme="minorEastAsia" w:hAnsiTheme="minorEastAsia" w:eastAsiaTheme="minorEastAsia" w:cstheme="minorEastAsia"/>
          <w:b/>
          <w:bCs/>
          <w:sz w:val="21"/>
          <w:szCs w:val="21"/>
        </w:rPr>
        <w:tab/>
      </w:r>
      <w:r>
        <w:rPr>
          <w:rFonts w:hint="eastAsia" w:asciiTheme="minorEastAsia" w:hAnsiTheme="minorEastAsia" w:eastAsiaTheme="minorEastAsia" w:cstheme="minorEastAsia"/>
          <w:b/>
          <w:bCs/>
          <w:sz w:val="21"/>
          <w:szCs w:val="21"/>
        </w:rPr>
        <w:fldChar w:fldCharType="begin"/>
      </w:r>
      <w:r>
        <w:rPr>
          <w:rFonts w:hint="eastAsia" w:asciiTheme="minorEastAsia" w:hAnsiTheme="minorEastAsia" w:eastAsiaTheme="minorEastAsia" w:cstheme="minorEastAsia"/>
          <w:b/>
          <w:bCs/>
          <w:sz w:val="21"/>
          <w:szCs w:val="21"/>
        </w:rPr>
        <w:instrText xml:space="preserve"> PAGEREF _Toc25145 </w:instrText>
      </w:r>
      <w:r>
        <w:rPr>
          <w:rFonts w:hint="eastAsia" w:asciiTheme="minorEastAsia" w:hAnsiTheme="minorEastAsia" w:eastAsiaTheme="minorEastAsia" w:cstheme="minorEastAsia"/>
          <w:b/>
          <w:bCs/>
          <w:sz w:val="21"/>
          <w:szCs w:val="21"/>
        </w:rPr>
        <w:fldChar w:fldCharType="separate"/>
      </w:r>
      <w:r>
        <w:rPr>
          <w:rFonts w:hint="eastAsia" w:asciiTheme="minorEastAsia" w:hAnsiTheme="minorEastAsia" w:eastAsiaTheme="minorEastAsia" w:cstheme="minorEastAsia"/>
          <w:b/>
          <w:bCs/>
          <w:sz w:val="21"/>
          <w:szCs w:val="21"/>
        </w:rPr>
        <w:t>23</w:t>
      </w:r>
      <w:r>
        <w:rPr>
          <w:rFonts w:hint="eastAsia" w:asciiTheme="minorEastAsia" w:hAnsiTheme="minorEastAsia" w:eastAsiaTheme="minorEastAsia" w:cstheme="minorEastAsia"/>
          <w:b/>
          <w:bCs/>
          <w:sz w:val="21"/>
          <w:szCs w:val="21"/>
        </w:rPr>
        <w:fldChar w:fldCharType="end"/>
      </w:r>
      <w:r>
        <w:rPr>
          <w:rFonts w:hint="eastAsia" w:asciiTheme="minorEastAsia" w:hAnsiTheme="minorEastAsia" w:eastAsiaTheme="minorEastAsia" w:cstheme="minorEastAsia"/>
          <w:b/>
          <w:bCs/>
          <w:sz w:val="21"/>
          <w:szCs w:val="21"/>
          <w:highlight w:val="none"/>
        </w:rPr>
        <w:fldChar w:fldCharType="end"/>
      </w:r>
    </w:p>
    <w:p>
      <w:pPr>
        <w:pStyle w:val="31"/>
        <w:tabs>
          <w:tab w:val="right" w:leader="dot" w:pos="9412"/>
          <w:tab w:val="clear" w:pos="9402"/>
        </w:tabs>
        <w:spacing w:line="48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highlight w:val="none"/>
        </w:rPr>
        <w:fldChar w:fldCharType="begin"/>
      </w:r>
      <w:r>
        <w:rPr>
          <w:rFonts w:hint="eastAsia" w:asciiTheme="minorEastAsia" w:hAnsiTheme="minorEastAsia" w:eastAsiaTheme="minorEastAsia" w:cstheme="minorEastAsia"/>
          <w:b/>
          <w:bCs/>
          <w:sz w:val="21"/>
          <w:szCs w:val="21"/>
          <w:highlight w:val="none"/>
        </w:rPr>
        <w:instrText xml:space="preserve"> HYPERLINK \l _Toc26836 </w:instrText>
      </w:r>
      <w:r>
        <w:rPr>
          <w:rFonts w:hint="eastAsia" w:asciiTheme="minorEastAsia" w:hAnsiTheme="minorEastAsia" w:eastAsiaTheme="minorEastAsia" w:cstheme="minorEastAsia"/>
          <w:b/>
          <w:bCs/>
          <w:sz w:val="21"/>
          <w:szCs w:val="21"/>
          <w:highlight w:val="none"/>
        </w:rPr>
        <w:fldChar w:fldCharType="separate"/>
      </w:r>
      <w:r>
        <w:rPr>
          <w:rFonts w:hint="eastAsia" w:asciiTheme="minorEastAsia" w:hAnsiTheme="minorEastAsia" w:eastAsiaTheme="minorEastAsia" w:cstheme="minorEastAsia"/>
          <w:b/>
          <w:bCs/>
          <w:sz w:val="21"/>
          <w:szCs w:val="21"/>
          <w:highlight w:val="none"/>
        </w:rPr>
        <w:t>第五章 响应文件格式</w:t>
      </w:r>
      <w:r>
        <w:rPr>
          <w:rFonts w:hint="eastAsia" w:asciiTheme="minorEastAsia" w:hAnsiTheme="minorEastAsia" w:eastAsiaTheme="minorEastAsia" w:cstheme="minorEastAsia"/>
          <w:b/>
          <w:bCs/>
          <w:sz w:val="21"/>
          <w:szCs w:val="21"/>
        </w:rPr>
        <w:tab/>
      </w:r>
      <w:r>
        <w:rPr>
          <w:rFonts w:hint="eastAsia" w:asciiTheme="minorEastAsia" w:hAnsiTheme="minorEastAsia" w:eastAsiaTheme="minorEastAsia" w:cstheme="minorEastAsia"/>
          <w:b/>
          <w:bCs/>
          <w:sz w:val="21"/>
          <w:szCs w:val="21"/>
        </w:rPr>
        <w:fldChar w:fldCharType="begin"/>
      </w:r>
      <w:r>
        <w:rPr>
          <w:rFonts w:hint="eastAsia" w:asciiTheme="minorEastAsia" w:hAnsiTheme="minorEastAsia" w:eastAsiaTheme="minorEastAsia" w:cstheme="minorEastAsia"/>
          <w:b/>
          <w:bCs/>
          <w:sz w:val="21"/>
          <w:szCs w:val="21"/>
        </w:rPr>
        <w:instrText xml:space="preserve"> PAGEREF _Toc26836 </w:instrText>
      </w:r>
      <w:r>
        <w:rPr>
          <w:rFonts w:hint="eastAsia" w:asciiTheme="minorEastAsia" w:hAnsiTheme="minorEastAsia" w:eastAsiaTheme="minorEastAsia" w:cstheme="minorEastAsia"/>
          <w:b/>
          <w:bCs/>
          <w:sz w:val="21"/>
          <w:szCs w:val="21"/>
        </w:rPr>
        <w:fldChar w:fldCharType="separate"/>
      </w:r>
      <w:r>
        <w:rPr>
          <w:rFonts w:hint="eastAsia" w:asciiTheme="minorEastAsia" w:hAnsiTheme="minorEastAsia" w:eastAsiaTheme="minorEastAsia" w:cstheme="minorEastAsia"/>
          <w:b/>
          <w:bCs/>
          <w:sz w:val="21"/>
          <w:szCs w:val="21"/>
        </w:rPr>
        <w:t>31</w:t>
      </w:r>
      <w:r>
        <w:rPr>
          <w:rFonts w:hint="eastAsia" w:asciiTheme="minorEastAsia" w:hAnsiTheme="minorEastAsia" w:eastAsiaTheme="minorEastAsia" w:cstheme="minorEastAsia"/>
          <w:b/>
          <w:bCs/>
          <w:sz w:val="21"/>
          <w:szCs w:val="21"/>
        </w:rPr>
        <w:fldChar w:fldCharType="end"/>
      </w:r>
      <w:r>
        <w:rPr>
          <w:rFonts w:hint="eastAsia" w:asciiTheme="minorEastAsia" w:hAnsiTheme="minorEastAsia" w:eastAsiaTheme="minorEastAsia" w:cstheme="minorEastAsia"/>
          <w:b/>
          <w:bCs/>
          <w:sz w:val="21"/>
          <w:szCs w:val="21"/>
          <w:highlight w:val="none"/>
        </w:rPr>
        <w:fldChar w:fldCharType="end"/>
      </w:r>
    </w:p>
    <w:p>
      <w:pPr>
        <w:pStyle w:val="2"/>
        <w:spacing w:before="0" w:after="0" w:line="480" w:lineRule="auto"/>
        <w:jc w:val="center"/>
        <w:rPr>
          <w:rFonts w:ascii="宋体" w:hAnsi="宋体" w:cs="宋体"/>
          <w:sz w:val="24"/>
          <w:szCs w:val="24"/>
          <w:highlight w:val="none"/>
        </w:rPr>
      </w:pPr>
      <w:bookmarkStart w:id="18" w:name="_Toc456"/>
      <w:r>
        <w:rPr>
          <w:rFonts w:hint="eastAsia" w:asciiTheme="minorEastAsia" w:hAnsiTheme="minorEastAsia" w:eastAsiaTheme="minorEastAsia" w:cstheme="minorEastAsia"/>
          <w:b/>
          <w:bCs/>
          <w:sz w:val="21"/>
          <w:szCs w:val="21"/>
          <w:highlight w:val="none"/>
        </w:rPr>
        <w:fldChar w:fldCharType="end"/>
      </w:r>
      <w:bookmarkStart w:id="19" w:name="_Toc25637"/>
      <w:r>
        <w:rPr>
          <w:rFonts w:hint="eastAsia" w:ascii="宋体" w:hAnsi="宋体" w:cs="宋体"/>
          <w:b w:val="0"/>
          <w:sz w:val="21"/>
          <w:szCs w:val="21"/>
          <w:highlight w:val="none"/>
        </w:rPr>
        <w:br w:type="page"/>
      </w:r>
      <w:bookmarkEnd w:id="5"/>
      <w:bookmarkEnd w:id="6"/>
      <w:bookmarkEnd w:id="7"/>
      <w:bookmarkEnd w:id="8"/>
      <w:bookmarkEnd w:id="9"/>
      <w:bookmarkStart w:id="20" w:name="_Toc175644384"/>
      <w:bookmarkStart w:id="21" w:name="_Toc497687497"/>
      <w:bookmarkStart w:id="22" w:name="_Toc519164434"/>
      <w:bookmarkStart w:id="23" w:name="_Toc469512798"/>
      <w:bookmarkStart w:id="24" w:name="_Toc532567113"/>
      <w:bookmarkStart w:id="25" w:name="_Toc519164288"/>
      <w:bookmarkStart w:id="26" w:name="_Toc526765920"/>
      <w:bookmarkStart w:id="27" w:name="_Toc497225610"/>
      <w:bookmarkStart w:id="28" w:name="_Toc502737211"/>
      <w:bookmarkStart w:id="29" w:name="_Toc469512572"/>
      <w:r>
        <w:rPr>
          <w:rFonts w:hint="eastAsia" w:ascii="宋体" w:hAnsi="宋体" w:cs="宋体"/>
          <w:sz w:val="24"/>
          <w:szCs w:val="24"/>
          <w:highlight w:val="none"/>
        </w:rPr>
        <w:t>投标邀请</w:t>
      </w:r>
      <w:bookmarkEnd w:id="10"/>
      <w:bookmarkEnd w:id="11"/>
      <w:bookmarkEnd w:id="20"/>
      <w:r>
        <w:rPr>
          <w:rFonts w:hint="eastAsia" w:ascii="宋体" w:hAnsi="宋体" w:cs="宋体"/>
          <w:sz w:val="24"/>
          <w:szCs w:val="24"/>
          <w:highlight w:val="none"/>
        </w:rPr>
        <w:t>函</w:t>
      </w:r>
      <w:bookmarkEnd w:id="12"/>
      <w:bookmarkEnd w:id="13"/>
      <w:bookmarkEnd w:id="14"/>
      <w:bookmarkEnd w:id="15"/>
      <w:bookmarkEnd w:id="16"/>
      <w:bookmarkEnd w:id="17"/>
      <w:bookmarkEnd w:id="18"/>
      <w:bookmarkEnd w:id="19"/>
      <w:bookmarkEnd w:id="21"/>
      <w:bookmarkEnd w:id="22"/>
      <w:bookmarkEnd w:id="23"/>
      <w:bookmarkEnd w:id="24"/>
      <w:bookmarkEnd w:id="25"/>
      <w:bookmarkEnd w:id="26"/>
      <w:bookmarkEnd w:id="27"/>
      <w:bookmarkEnd w:id="28"/>
      <w:bookmarkEnd w:id="29"/>
    </w:p>
    <w:p>
      <w:pPr>
        <w:spacing w:line="500" w:lineRule="exact"/>
        <w:ind w:firstLine="472" w:firstLineChars="225"/>
        <w:jc w:val="both"/>
        <w:rPr>
          <w:rFonts w:ascii="宋体" w:hAnsi="宋体" w:cs="宋体"/>
          <w:szCs w:val="21"/>
          <w:highlight w:val="none"/>
        </w:rPr>
      </w:pPr>
      <w:r>
        <w:rPr>
          <w:rFonts w:hint="eastAsia" w:ascii="宋体" w:hAnsi="宋体" w:cs="宋体"/>
          <w:szCs w:val="21"/>
          <w:highlight w:val="none"/>
        </w:rPr>
        <w:t>广东省机电设备招标有限公司（以下简称“采购代理机构”）受华南师范大学（以下简称“采购人”）的委托，就以下项目进行竞争性磋商，欢迎符合资格条件的供应商参加。有关事项如下：</w:t>
      </w:r>
    </w:p>
    <w:p>
      <w:pPr>
        <w:numPr>
          <w:ilvl w:val="0"/>
          <w:numId w:val="1"/>
        </w:numPr>
        <w:spacing w:line="500" w:lineRule="exact"/>
        <w:ind w:left="560" w:leftChars="255" w:hanging="25" w:hangingChars="12"/>
        <w:jc w:val="both"/>
        <w:rPr>
          <w:rFonts w:ascii="宋体" w:hAnsi="宋体" w:cs="宋体"/>
          <w:b/>
          <w:szCs w:val="21"/>
          <w:highlight w:val="none"/>
        </w:rPr>
      </w:pPr>
      <w:r>
        <w:rPr>
          <w:rFonts w:hint="eastAsia" w:ascii="宋体" w:hAnsi="宋体" w:cs="宋体"/>
          <w:b/>
          <w:szCs w:val="21"/>
          <w:highlight w:val="none"/>
        </w:rPr>
        <w:t>磋商项目简介</w:t>
      </w:r>
    </w:p>
    <w:p>
      <w:pPr>
        <w:numPr>
          <w:ilvl w:val="1"/>
          <w:numId w:val="1"/>
        </w:numPr>
        <w:spacing w:line="500" w:lineRule="exact"/>
        <w:jc w:val="both"/>
        <w:rPr>
          <w:rFonts w:ascii="宋体" w:hAnsi="宋体" w:cs="宋体"/>
          <w:szCs w:val="21"/>
          <w:highlight w:val="none"/>
        </w:rPr>
      </w:pPr>
      <w:r>
        <w:rPr>
          <w:rFonts w:hint="eastAsia" w:ascii="宋体" w:hAnsi="宋体" w:cs="宋体"/>
          <w:szCs w:val="21"/>
          <w:highlight w:val="none"/>
        </w:rPr>
        <w:t>项目名称：华南师范大学遴选科研耗材电商平台项目</w:t>
      </w:r>
      <w:r>
        <w:rPr>
          <w:rFonts w:hint="eastAsia" w:ascii="宋体" w:hAnsi="宋体" w:cs="宋体"/>
          <w:szCs w:val="21"/>
          <w:highlight w:val="none"/>
          <w:lang w:eastAsia="zh-CN"/>
        </w:rPr>
        <w:t>（</w:t>
      </w:r>
      <w:r>
        <w:rPr>
          <w:rFonts w:hint="eastAsia" w:ascii="宋体" w:hAnsi="宋体" w:cs="宋体"/>
          <w:szCs w:val="21"/>
          <w:highlight w:val="none"/>
          <w:lang w:val="en-US" w:eastAsia="zh-CN"/>
        </w:rPr>
        <w:t>第二次招标</w:t>
      </w:r>
      <w:r>
        <w:rPr>
          <w:rFonts w:hint="eastAsia" w:ascii="宋体" w:hAnsi="宋体" w:cs="宋体"/>
          <w:szCs w:val="21"/>
          <w:highlight w:val="none"/>
          <w:lang w:eastAsia="zh-CN"/>
        </w:rPr>
        <w:t>）</w:t>
      </w:r>
    </w:p>
    <w:p>
      <w:pPr>
        <w:numPr>
          <w:ilvl w:val="1"/>
          <w:numId w:val="1"/>
        </w:numPr>
        <w:spacing w:line="500" w:lineRule="exact"/>
        <w:jc w:val="both"/>
        <w:rPr>
          <w:rFonts w:ascii="宋体" w:hAnsi="宋体" w:cs="宋体"/>
          <w:szCs w:val="21"/>
          <w:highlight w:val="none"/>
        </w:rPr>
      </w:pPr>
      <w:r>
        <w:rPr>
          <w:rFonts w:hint="eastAsia" w:ascii="宋体" w:hAnsi="宋体" w:cs="宋体"/>
          <w:szCs w:val="21"/>
          <w:highlight w:val="none"/>
        </w:rPr>
        <w:t>项目编号：</w:t>
      </w:r>
      <w:r>
        <w:rPr>
          <w:rFonts w:hint="eastAsia" w:ascii="宋体" w:hAnsi="宋体" w:cs="宋体"/>
          <w:szCs w:val="21"/>
          <w:highlight w:val="none"/>
          <w:lang w:eastAsia="zh-CN"/>
        </w:rPr>
        <w:t>M440000070700682500</w:t>
      </w:r>
      <w:r>
        <w:rPr>
          <w:rFonts w:hint="eastAsia" w:ascii="宋体" w:hAnsi="宋体" w:cs="宋体"/>
          <w:szCs w:val="21"/>
          <w:highlight w:val="none"/>
          <w:lang w:val="en-US" w:eastAsia="zh-CN"/>
        </w:rPr>
        <w:t>2</w:t>
      </w:r>
    </w:p>
    <w:p>
      <w:pPr>
        <w:numPr>
          <w:ilvl w:val="1"/>
          <w:numId w:val="1"/>
        </w:numPr>
        <w:spacing w:line="500" w:lineRule="exact"/>
        <w:ind w:left="0" w:firstLine="425"/>
        <w:jc w:val="both"/>
        <w:rPr>
          <w:rFonts w:ascii="宋体" w:hAnsi="宋体" w:cs="宋体"/>
          <w:szCs w:val="21"/>
          <w:highlight w:val="none"/>
        </w:rPr>
      </w:pPr>
      <w:r>
        <w:rPr>
          <w:rFonts w:hint="eastAsia" w:ascii="宋体" w:hAnsi="宋体" w:cs="宋体"/>
          <w:szCs w:val="21"/>
          <w:highlight w:val="none"/>
        </w:rPr>
        <w:t>项目类别：服务类</w:t>
      </w:r>
    </w:p>
    <w:p>
      <w:pPr>
        <w:numPr>
          <w:ilvl w:val="1"/>
          <w:numId w:val="1"/>
        </w:numPr>
        <w:spacing w:line="500" w:lineRule="exact"/>
        <w:ind w:left="0" w:firstLine="425"/>
        <w:jc w:val="both"/>
        <w:rPr>
          <w:rFonts w:ascii="宋体" w:hAnsi="宋体" w:cs="宋体"/>
          <w:szCs w:val="21"/>
          <w:highlight w:val="none"/>
        </w:rPr>
      </w:pPr>
      <w:r>
        <w:rPr>
          <w:rFonts w:hint="eastAsia" w:ascii="宋体" w:hAnsi="宋体" w:cs="宋体"/>
          <w:szCs w:val="21"/>
          <w:highlight w:val="none"/>
        </w:rPr>
        <w:t>采购内容及用途：见第二章</w:t>
      </w:r>
      <w:r>
        <w:rPr>
          <w:rFonts w:hint="eastAsia" w:ascii="宋体" w:hAnsi="宋体" w:cs="宋体"/>
          <w:szCs w:val="21"/>
          <w:highlight w:val="none"/>
          <w:lang w:val="en-US" w:eastAsia="zh-CN"/>
        </w:rPr>
        <w:t>用户需求书</w:t>
      </w:r>
      <w:r>
        <w:rPr>
          <w:rFonts w:hint="eastAsia" w:ascii="宋体" w:hAnsi="宋体" w:cs="宋体"/>
          <w:szCs w:val="21"/>
          <w:highlight w:val="none"/>
        </w:rPr>
        <w:t>。</w:t>
      </w:r>
    </w:p>
    <w:p>
      <w:pPr>
        <w:spacing w:line="500" w:lineRule="exact"/>
        <w:ind w:left="425" w:firstLine="420" w:firstLineChars="200"/>
        <w:jc w:val="both"/>
        <w:rPr>
          <w:rFonts w:ascii="宋体" w:hAnsi="宋体" w:cs="宋体"/>
          <w:szCs w:val="21"/>
          <w:highlight w:val="none"/>
        </w:rPr>
      </w:pPr>
      <w:r>
        <w:rPr>
          <w:rFonts w:hint="eastAsia" w:ascii="宋体" w:hAnsi="宋体" w:cs="宋体"/>
          <w:szCs w:val="21"/>
          <w:highlight w:val="none"/>
        </w:rPr>
        <w:t>本项目已按照有关规定履行项目审批手续并获得批准，项目的招标方式和范围已经批准。</w:t>
      </w:r>
    </w:p>
    <w:p>
      <w:pPr>
        <w:numPr>
          <w:ilvl w:val="1"/>
          <w:numId w:val="1"/>
        </w:numPr>
        <w:spacing w:line="500" w:lineRule="exact"/>
        <w:ind w:left="1134" w:hanging="709"/>
        <w:jc w:val="both"/>
        <w:rPr>
          <w:rFonts w:ascii="宋体" w:hAnsi="宋体" w:cs="宋体"/>
          <w:szCs w:val="21"/>
          <w:highlight w:val="none"/>
        </w:rPr>
      </w:pPr>
      <w:r>
        <w:rPr>
          <w:rFonts w:hint="eastAsia" w:ascii="宋体" w:hAnsi="宋体" w:cs="宋体"/>
          <w:szCs w:val="21"/>
          <w:highlight w:val="none"/>
        </w:rPr>
        <w:t>交货期：见第二章</w:t>
      </w:r>
      <w:r>
        <w:rPr>
          <w:rFonts w:hint="eastAsia" w:ascii="宋体" w:hAnsi="宋体" w:cs="宋体"/>
          <w:szCs w:val="21"/>
          <w:highlight w:val="none"/>
          <w:lang w:val="en-US" w:eastAsia="zh-CN"/>
        </w:rPr>
        <w:t>用户需求书</w:t>
      </w:r>
      <w:r>
        <w:rPr>
          <w:rFonts w:hint="eastAsia" w:ascii="宋体" w:hAnsi="宋体" w:cs="宋体"/>
          <w:szCs w:val="21"/>
          <w:highlight w:val="none"/>
        </w:rPr>
        <w:t>。</w:t>
      </w:r>
    </w:p>
    <w:p>
      <w:pPr>
        <w:numPr>
          <w:ilvl w:val="0"/>
          <w:numId w:val="1"/>
        </w:numPr>
        <w:spacing w:line="500" w:lineRule="exact"/>
        <w:ind w:left="560" w:leftChars="255" w:hanging="25" w:hangingChars="12"/>
        <w:jc w:val="both"/>
        <w:rPr>
          <w:rFonts w:ascii="宋体" w:hAnsi="宋体" w:cs="宋体"/>
          <w:b/>
          <w:szCs w:val="21"/>
          <w:highlight w:val="none"/>
        </w:rPr>
      </w:pPr>
      <w:r>
        <w:rPr>
          <w:rFonts w:hint="eastAsia" w:ascii="宋体" w:hAnsi="宋体" w:cs="宋体"/>
          <w:b/>
          <w:szCs w:val="21"/>
          <w:highlight w:val="none"/>
        </w:rPr>
        <w:t>供应商资格要求</w:t>
      </w:r>
    </w:p>
    <w:p>
      <w:pPr>
        <w:tabs>
          <w:tab w:val="left" w:pos="840"/>
          <w:tab w:val="left" w:pos="1080"/>
        </w:tabs>
        <w:spacing w:line="500" w:lineRule="exact"/>
        <w:ind w:firstLine="420" w:firstLineChars="200"/>
        <w:rPr>
          <w:rFonts w:ascii="宋体" w:hAnsi="宋体" w:cs="宋体"/>
          <w:szCs w:val="22"/>
          <w:highlight w:val="none"/>
        </w:rPr>
      </w:pPr>
      <w:bookmarkStart w:id="30" w:name="OLE_LINK1"/>
      <w:r>
        <w:rPr>
          <w:rFonts w:hint="eastAsia" w:ascii="宋体" w:hAnsi="宋体" w:cs="宋体"/>
          <w:highlight w:val="none"/>
        </w:rPr>
        <w:t>1、供应商具备《政府采购法》第二十二条所规定的条件：1）供应商必须是具有独立承担民事责任能力的在中华人民共和国境内注册的法人或其他组织或自然人（提交有效的营业执照（或事业法人登记证等相关证明）副本复印件）。2）供应商必须具有良好的商业信誉和健全的财务会计制度（提供2019度财务状况报告或基本开户行出具的资信证明）。3）有依法缴纳税收和社会保障资金的良好记录（提供磋商截止日前6个月内任意1个月依法缴纳税收和社会保障资金的相关材料。如依法免税或不需要缴纳社会保障资金的，提供相应证明材料）。4）具备履行合同所必需的设备和专业技术能力（按第五章格式填报设备和专业技术能力情况表）。</w:t>
      </w:r>
      <w:r>
        <w:rPr>
          <w:rFonts w:hint="eastAsia" w:ascii="宋体" w:hAnsi="宋体" w:cs="宋体"/>
          <w:szCs w:val="22"/>
          <w:highlight w:val="none"/>
        </w:rPr>
        <w:t>5）供应商参加政府采购活动前三年内，在经营活动中没有重大违法记录（提供声明函，格式见第五章）。6）供应商必须符合法律、行政法规规定的其他条件（提供声明函，格式见第五章）。</w:t>
      </w:r>
    </w:p>
    <w:p>
      <w:pPr>
        <w:tabs>
          <w:tab w:val="left" w:pos="840"/>
          <w:tab w:val="left" w:pos="1080"/>
        </w:tabs>
        <w:spacing w:line="500" w:lineRule="exact"/>
        <w:ind w:firstLine="420" w:firstLineChars="200"/>
        <w:rPr>
          <w:rFonts w:ascii="宋体" w:hAnsi="宋体" w:cs="宋体"/>
          <w:szCs w:val="22"/>
          <w:highlight w:val="none"/>
        </w:rPr>
      </w:pPr>
      <w:r>
        <w:rPr>
          <w:rFonts w:hint="eastAsia" w:ascii="宋体" w:hAnsi="宋体" w:cs="宋体"/>
          <w:szCs w:val="22"/>
          <w:highlight w:val="none"/>
        </w:rPr>
        <w:t>2、本项目不接受联合体</w:t>
      </w:r>
      <w:r>
        <w:rPr>
          <w:rFonts w:hint="eastAsia" w:ascii="宋体" w:hAnsi="宋体" w:cs="宋体"/>
          <w:highlight w:val="none"/>
          <w:lang w:val="en-US" w:eastAsia="zh-CN"/>
        </w:rPr>
        <w:t>投标</w:t>
      </w:r>
      <w:r>
        <w:rPr>
          <w:rFonts w:hint="eastAsia" w:ascii="宋体" w:hAnsi="宋体" w:cs="宋体"/>
          <w:szCs w:val="22"/>
          <w:highlight w:val="none"/>
        </w:rPr>
        <w:t>。</w:t>
      </w:r>
    </w:p>
    <w:p>
      <w:pPr>
        <w:tabs>
          <w:tab w:val="left" w:pos="840"/>
          <w:tab w:val="left" w:pos="1080"/>
        </w:tabs>
        <w:spacing w:line="500" w:lineRule="exact"/>
        <w:ind w:firstLine="420" w:firstLineChars="200"/>
        <w:rPr>
          <w:rFonts w:ascii="宋体" w:hAnsi="宋体" w:cs="宋体"/>
          <w:szCs w:val="22"/>
          <w:highlight w:val="none"/>
        </w:rPr>
      </w:pPr>
      <w:r>
        <w:rPr>
          <w:rFonts w:hint="eastAsia" w:ascii="宋体" w:hAnsi="宋体" w:cs="宋体"/>
          <w:szCs w:val="22"/>
          <w:highlight w:val="none"/>
        </w:rPr>
        <w:t>3、已登记报名并获取本项目磋商文件。</w:t>
      </w:r>
    </w:p>
    <w:p>
      <w:pPr>
        <w:tabs>
          <w:tab w:val="left" w:pos="840"/>
          <w:tab w:val="left" w:pos="1080"/>
        </w:tabs>
        <w:spacing w:line="500" w:lineRule="exact"/>
        <w:ind w:firstLine="420" w:firstLineChars="200"/>
        <w:rPr>
          <w:rFonts w:ascii="宋体" w:hAnsi="宋体" w:cs="宋体"/>
          <w:szCs w:val="22"/>
          <w:highlight w:val="none"/>
        </w:rPr>
      </w:pPr>
      <w:r>
        <w:rPr>
          <w:rFonts w:hint="eastAsia" w:ascii="宋体" w:hAnsi="宋体" w:cs="宋体"/>
          <w:szCs w:val="22"/>
          <w:highlight w:val="none"/>
        </w:rPr>
        <w:t>4、供应商未被列入“信用中国”网站(www.creditchina.gov.cn)“记录失信被执行人或重大税收违法案件当事人名单或政府采购严重违法失信行为”记录名单。（采购代理机构将于磋商截止日当天在“信用中国”网站（www.creditchina.gov.cn）上查询相关信息。如查询结果未发现失信行为，视为评审时供应商符合本款要求）</w:t>
      </w:r>
    </w:p>
    <w:p>
      <w:pPr>
        <w:tabs>
          <w:tab w:val="left" w:pos="840"/>
          <w:tab w:val="left" w:pos="1080"/>
        </w:tabs>
        <w:spacing w:line="500" w:lineRule="exact"/>
        <w:ind w:firstLine="420" w:firstLineChars="200"/>
        <w:rPr>
          <w:rFonts w:ascii="宋体" w:hAnsi="宋体" w:cs="宋体"/>
          <w:szCs w:val="22"/>
          <w:highlight w:val="none"/>
        </w:rPr>
      </w:pPr>
      <w:r>
        <w:rPr>
          <w:rFonts w:hint="eastAsia" w:ascii="宋体" w:hAnsi="宋体" w:cs="宋体"/>
          <w:szCs w:val="22"/>
          <w:highlight w:val="none"/>
        </w:rPr>
        <w:t>5、单位负责人为同一人或者存在直接控股、管理关系的不同供应商，不得参加同一合同项下的政府采购活动。（提供声明函，格式见第五章）</w:t>
      </w:r>
    </w:p>
    <w:p>
      <w:pPr>
        <w:tabs>
          <w:tab w:val="left" w:pos="840"/>
          <w:tab w:val="left" w:pos="1080"/>
        </w:tabs>
        <w:spacing w:line="500" w:lineRule="exact"/>
        <w:ind w:firstLine="420" w:firstLineChars="200"/>
        <w:rPr>
          <w:rFonts w:ascii="宋体" w:hAnsi="宋体" w:cs="宋体"/>
          <w:szCs w:val="22"/>
          <w:highlight w:val="none"/>
        </w:rPr>
      </w:pPr>
      <w:r>
        <w:rPr>
          <w:rFonts w:hint="eastAsia" w:ascii="宋体" w:hAnsi="宋体" w:cs="宋体"/>
          <w:szCs w:val="22"/>
          <w:highlight w:val="none"/>
        </w:rPr>
        <w:t>6、为采购项目提供整体设计、规范编制或者项目管理、监理、检测等服务的供应商，不得再参加该采购项目的其他采购活动。（提供声明函，格式见第五章）</w:t>
      </w:r>
    </w:p>
    <w:p>
      <w:pPr>
        <w:tabs>
          <w:tab w:val="left" w:pos="840"/>
          <w:tab w:val="left" w:pos="1080"/>
        </w:tabs>
        <w:spacing w:line="500" w:lineRule="exact"/>
        <w:ind w:firstLine="420" w:firstLineChars="200"/>
        <w:rPr>
          <w:rFonts w:ascii="宋体" w:hAnsi="宋体" w:cs="宋体"/>
          <w:szCs w:val="22"/>
          <w:highlight w:val="none"/>
        </w:rPr>
      </w:pPr>
      <w:r>
        <w:rPr>
          <w:rFonts w:hint="eastAsia" w:ascii="宋体" w:hAnsi="宋体" w:cs="宋体"/>
          <w:szCs w:val="22"/>
          <w:highlight w:val="none"/>
        </w:rPr>
        <w:t>7、供应商所投的电商平台必须具有ICP备案或ICP经营许可证（需提供相关证明材料），确保学校数据和业务安全。</w:t>
      </w:r>
    </w:p>
    <w:bookmarkEnd w:id="30"/>
    <w:p>
      <w:pPr>
        <w:numPr>
          <w:ilvl w:val="0"/>
          <w:numId w:val="1"/>
        </w:numPr>
        <w:spacing w:line="500" w:lineRule="exact"/>
        <w:ind w:left="560" w:leftChars="255" w:hanging="25" w:hangingChars="12"/>
        <w:jc w:val="both"/>
        <w:rPr>
          <w:rFonts w:ascii="宋体" w:hAnsi="宋体" w:cs="宋体"/>
          <w:b/>
          <w:szCs w:val="21"/>
          <w:highlight w:val="none"/>
        </w:rPr>
      </w:pPr>
      <w:r>
        <w:rPr>
          <w:rFonts w:hint="eastAsia" w:ascii="宋体" w:hAnsi="宋体" w:cs="宋体"/>
          <w:b/>
          <w:szCs w:val="21"/>
          <w:highlight w:val="none"/>
        </w:rPr>
        <w:t>报名及购买磋商文件的时间、地点、方式及磋商文件售价</w:t>
      </w:r>
    </w:p>
    <w:p>
      <w:pPr>
        <w:numPr>
          <w:ilvl w:val="1"/>
          <w:numId w:val="1"/>
        </w:numPr>
        <w:spacing w:line="500" w:lineRule="exact"/>
        <w:ind w:left="0" w:firstLine="425"/>
        <w:jc w:val="both"/>
        <w:rPr>
          <w:rFonts w:ascii="宋体" w:hAnsi="宋体" w:cs="宋体"/>
          <w:szCs w:val="21"/>
          <w:highlight w:val="none"/>
        </w:rPr>
      </w:pPr>
      <w:r>
        <w:rPr>
          <w:rFonts w:hint="eastAsia" w:ascii="宋体" w:hAnsi="宋体" w:cs="宋体"/>
          <w:highlight w:val="none"/>
        </w:rPr>
        <w:t>报名及购买磋商文件时间：2020年</w:t>
      </w:r>
      <w:r>
        <w:rPr>
          <w:rFonts w:hint="eastAsia" w:ascii="宋体" w:hAnsi="宋体" w:cs="宋体"/>
          <w:highlight w:val="none"/>
          <w:lang w:val="en-US" w:eastAsia="zh-CN"/>
        </w:rPr>
        <w:t>07</w:t>
      </w:r>
      <w:r>
        <w:rPr>
          <w:rFonts w:hint="eastAsia" w:ascii="宋体" w:hAnsi="宋体" w:cs="宋体"/>
          <w:highlight w:val="none"/>
        </w:rPr>
        <w:t>月</w:t>
      </w:r>
      <w:r>
        <w:rPr>
          <w:rFonts w:hint="eastAsia" w:ascii="宋体" w:hAnsi="宋体" w:cs="宋体"/>
          <w:highlight w:val="none"/>
          <w:lang w:val="en-US" w:eastAsia="zh-CN"/>
        </w:rPr>
        <w:t>24</w:t>
      </w:r>
      <w:r>
        <w:rPr>
          <w:rFonts w:hint="eastAsia" w:ascii="宋体" w:hAnsi="宋体" w:cs="宋体"/>
          <w:highlight w:val="none"/>
        </w:rPr>
        <w:t>日至2020年</w:t>
      </w:r>
      <w:r>
        <w:rPr>
          <w:rFonts w:hint="eastAsia" w:ascii="宋体" w:hAnsi="宋体" w:cs="宋体"/>
          <w:highlight w:val="none"/>
          <w:lang w:val="en-US" w:eastAsia="zh-CN"/>
        </w:rPr>
        <w:t>08</w:t>
      </w:r>
      <w:r>
        <w:rPr>
          <w:rFonts w:hint="eastAsia" w:ascii="宋体" w:hAnsi="宋体" w:cs="宋体"/>
          <w:highlight w:val="none"/>
        </w:rPr>
        <w:t>月</w:t>
      </w:r>
      <w:r>
        <w:rPr>
          <w:rFonts w:hint="eastAsia" w:ascii="宋体" w:hAnsi="宋体" w:cs="宋体"/>
          <w:highlight w:val="none"/>
          <w:lang w:val="en-US" w:eastAsia="zh-CN"/>
        </w:rPr>
        <w:t>10</w:t>
      </w:r>
      <w:r>
        <w:rPr>
          <w:rFonts w:hint="eastAsia" w:ascii="宋体" w:hAnsi="宋体" w:cs="宋体"/>
          <w:highlight w:val="none"/>
        </w:rPr>
        <w:t>日</w:t>
      </w:r>
      <w:r>
        <w:rPr>
          <w:rFonts w:hint="eastAsia" w:ascii="宋体" w:hAnsi="宋体" w:cs="宋体"/>
          <w:highlight w:val="none"/>
        </w:rPr>
        <w:t>8:30－12:00，14:00－17:30（节假日除外）</w:t>
      </w:r>
      <w:r>
        <w:rPr>
          <w:rFonts w:hint="eastAsia" w:ascii="宋体" w:hAnsi="宋体" w:cs="宋体"/>
          <w:szCs w:val="21"/>
          <w:highlight w:val="none"/>
        </w:rPr>
        <w:t>。</w:t>
      </w:r>
    </w:p>
    <w:p>
      <w:pPr>
        <w:numPr>
          <w:ilvl w:val="1"/>
          <w:numId w:val="1"/>
        </w:numPr>
        <w:spacing w:line="500" w:lineRule="exact"/>
        <w:ind w:left="0" w:firstLine="425"/>
        <w:jc w:val="both"/>
        <w:rPr>
          <w:rFonts w:ascii="宋体" w:hAnsi="宋体" w:cs="宋体"/>
          <w:szCs w:val="21"/>
          <w:highlight w:val="none"/>
        </w:rPr>
      </w:pPr>
      <w:r>
        <w:rPr>
          <w:rFonts w:hint="eastAsia" w:ascii="宋体" w:hAnsi="宋体" w:cs="宋体"/>
          <w:highlight w:val="none"/>
        </w:rPr>
        <w:t>上述时间是否有改变，请密切留意变更公告的相关信息。</w:t>
      </w:r>
    </w:p>
    <w:p>
      <w:pPr>
        <w:numPr>
          <w:ilvl w:val="1"/>
          <w:numId w:val="1"/>
        </w:numPr>
        <w:spacing w:line="500" w:lineRule="exact"/>
        <w:ind w:left="0" w:firstLine="425"/>
        <w:jc w:val="both"/>
        <w:rPr>
          <w:rFonts w:ascii="宋体" w:hAnsi="宋体" w:cs="宋体"/>
          <w:szCs w:val="21"/>
          <w:highlight w:val="none"/>
        </w:rPr>
      </w:pPr>
      <w:r>
        <w:rPr>
          <w:rFonts w:hint="eastAsia" w:ascii="宋体" w:hAnsi="宋体" w:cs="宋体"/>
          <w:szCs w:val="21"/>
          <w:highlight w:val="none"/>
        </w:rPr>
        <w:t>报名方式：</w:t>
      </w:r>
    </w:p>
    <w:p>
      <w:pPr>
        <w:spacing w:line="500" w:lineRule="exact"/>
        <w:ind w:firstLine="422" w:firstLineChars="200"/>
        <w:jc w:val="both"/>
        <w:rPr>
          <w:rFonts w:ascii="宋体" w:hAnsi="宋体" w:cs="宋体"/>
          <w:b/>
          <w:szCs w:val="21"/>
          <w:highlight w:val="none"/>
        </w:rPr>
      </w:pPr>
      <w:r>
        <w:rPr>
          <w:rFonts w:hint="eastAsia" w:ascii="宋体" w:hAnsi="宋体" w:cs="宋体"/>
          <w:b/>
          <w:szCs w:val="21"/>
          <w:highlight w:val="none"/>
        </w:rPr>
        <w:t>本项目只接受网上报名：</w:t>
      </w:r>
    </w:p>
    <w:p>
      <w:pPr>
        <w:spacing w:line="500" w:lineRule="exact"/>
        <w:ind w:firstLine="422" w:firstLineChars="200"/>
        <w:jc w:val="both"/>
        <w:rPr>
          <w:rFonts w:ascii="宋体" w:hAnsi="宋体" w:cs="宋体"/>
          <w:b/>
          <w:szCs w:val="21"/>
          <w:highlight w:val="none"/>
        </w:rPr>
      </w:pPr>
      <w:r>
        <w:rPr>
          <w:rFonts w:hint="eastAsia" w:ascii="宋体" w:hAnsi="宋体" w:cs="宋体"/>
          <w:b/>
          <w:szCs w:val="21"/>
          <w:highlight w:val="none"/>
        </w:rPr>
        <w:t>供应商可访问广东省机电设备招标有限公司广咨电子招投标交易平台网站（www.gzebid.cn）进行网上报名。如供应商尚未注册，请根据网站指引进行注册，注册完成后登录系统完善资料并提交审核，只有审核通过的供应商才可以进行网上报名、购买磋商文件。磋商文件购买支持微信、支付宝两种方式，支付成功后即可到“我要投标”下载磋商文件。我司会为您开具增值税普通电子发票，届时您可以登录系统选择对应项目下载电子发票。</w:t>
      </w:r>
      <w:r>
        <w:rPr>
          <w:rFonts w:hint="eastAsia" w:ascii="宋体" w:hAnsi="宋体" w:cs="宋体"/>
          <w:b/>
          <w:highlight w:val="none"/>
        </w:rPr>
        <w:t>（有关网上报名及注册联系方式：热线电话：400-150-3001，网站客服(QQ)：3151435402）</w:t>
      </w:r>
    </w:p>
    <w:p>
      <w:pPr>
        <w:numPr>
          <w:ilvl w:val="1"/>
          <w:numId w:val="1"/>
        </w:numPr>
        <w:spacing w:line="500" w:lineRule="exact"/>
        <w:ind w:left="0" w:firstLine="425"/>
        <w:jc w:val="both"/>
        <w:rPr>
          <w:rFonts w:ascii="宋体" w:hAnsi="宋体" w:cs="宋体"/>
          <w:szCs w:val="21"/>
          <w:highlight w:val="none"/>
        </w:rPr>
      </w:pPr>
      <w:r>
        <w:rPr>
          <w:rFonts w:hint="eastAsia" w:ascii="宋体" w:hAnsi="宋体" w:cs="宋体"/>
          <w:szCs w:val="21"/>
          <w:highlight w:val="none"/>
        </w:rPr>
        <w:t>竞争性磋商文件售价：人民币300元/套，售后不退。</w:t>
      </w:r>
    </w:p>
    <w:p>
      <w:pPr>
        <w:numPr>
          <w:ilvl w:val="0"/>
          <w:numId w:val="1"/>
        </w:numPr>
        <w:spacing w:line="500" w:lineRule="exact"/>
        <w:ind w:left="560" w:leftChars="255" w:hanging="25" w:hangingChars="12"/>
        <w:jc w:val="both"/>
        <w:rPr>
          <w:rFonts w:ascii="宋体" w:hAnsi="宋体" w:cs="宋体"/>
          <w:b/>
          <w:szCs w:val="21"/>
          <w:highlight w:val="none"/>
        </w:rPr>
      </w:pPr>
      <w:r>
        <w:rPr>
          <w:rFonts w:hint="eastAsia" w:ascii="宋体" w:hAnsi="宋体" w:cs="宋体"/>
          <w:b/>
          <w:szCs w:val="21"/>
          <w:highlight w:val="none"/>
        </w:rPr>
        <w:t>递交响应文件时间、</w:t>
      </w:r>
      <w:r>
        <w:rPr>
          <w:rFonts w:hint="eastAsia" w:ascii="宋体" w:hAnsi="宋体" w:cs="宋体"/>
          <w:b/>
          <w:szCs w:val="21"/>
          <w:highlight w:val="none"/>
          <w:lang w:val="en-US" w:eastAsia="zh-CN"/>
        </w:rPr>
        <w:t>截止</w:t>
      </w:r>
      <w:r>
        <w:rPr>
          <w:rFonts w:hint="eastAsia" w:ascii="宋体" w:hAnsi="宋体" w:cs="宋体"/>
          <w:b/>
          <w:szCs w:val="21"/>
          <w:highlight w:val="none"/>
        </w:rPr>
        <w:t>时间及磋商时间、磋商地点</w:t>
      </w:r>
      <w:r>
        <w:rPr>
          <w:rFonts w:hint="eastAsia" w:ascii="宋体" w:hAnsi="宋体" w:cs="宋体"/>
          <w:b/>
          <w:bCs/>
          <w:highlight w:val="none"/>
        </w:rPr>
        <w:t>（具体时间及地点以磋商公告为准）</w:t>
      </w:r>
    </w:p>
    <w:p>
      <w:pPr>
        <w:numPr>
          <w:ilvl w:val="1"/>
          <w:numId w:val="1"/>
        </w:numPr>
        <w:spacing w:line="500" w:lineRule="exact"/>
        <w:ind w:left="0" w:firstLine="425"/>
        <w:jc w:val="both"/>
        <w:rPr>
          <w:rFonts w:ascii="宋体" w:hAnsi="宋体" w:cs="宋体"/>
          <w:szCs w:val="21"/>
          <w:highlight w:val="none"/>
        </w:rPr>
      </w:pPr>
      <w:r>
        <w:rPr>
          <w:rFonts w:hint="eastAsia" w:ascii="宋体" w:hAnsi="宋体" w:cs="宋体"/>
          <w:szCs w:val="21"/>
          <w:highlight w:val="none"/>
        </w:rPr>
        <w:t>响应文件递交起始时间：</w:t>
      </w:r>
      <w:r>
        <w:rPr>
          <w:rFonts w:hint="eastAsia" w:ascii="宋体" w:hAnsi="宋体" w:cs="宋体"/>
          <w:highlight w:val="none"/>
        </w:rPr>
        <w:t>2020年</w:t>
      </w:r>
      <w:r>
        <w:rPr>
          <w:rFonts w:hint="eastAsia" w:ascii="宋体" w:hAnsi="宋体" w:cs="宋体"/>
          <w:highlight w:val="none"/>
          <w:lang w:val="en-US" w:eastAsia="zh-CN"/>
        </w:rPr>
        <w:t>08</w:t>
      </w:r>
      <w:r>
        <w:rPr>
          <w:rFonts w:hint="eastAsia" w:ascii="宋体" w:hAnsi="宋体" w:cs="宋体"/>
          <w:highlight w:val="none"/>
        </w:rPr>
        <w:t>月</w:t>
      </w:r>
      <w:r>
        <w:rPr>
          <w:rFonts w:hint="eastAsia" w:ascii="宋体" w:hAnsi="宋体" w:cs="宋体"/>
          <w:highlight w:val="none"/>
          <w:lang w:val="en-US" w:eastAsia="zh-CN"/>
        </w:rPr>
        <w:t>11</w:t>
      </w:r>
      <w:r>
        <w:rPr>
          <w:rFonts w:hint="eastAsia" w:ascii="宋体" w:hAnsi="宋体" w:cs="宋体"/>
          <w:highlight w:val="none"/>
        </w:rPr>
        <w:t>日</w:t>
      </w:r>
      <w:r>
        <w:rPr>
          <w:rFonts w:hint="eastAsia" w:ascii="宋体" w:hAnsi="宋体" w:cs="宋体"/>
          <w:highlight w:val="none"/>
          <w:lang w:val="en-US" w:eastAsia="zh-CN"/>
        </w:rPr>
        <w:t>14</w:t>
      </w:r>
      <w:r>
        <w:rPr>
          <w:rFonts w:hint="eastAsia" w:ascii="宋体" w:hAnsi="宋体" w:cs="宋体"/>
          <w:highlight w:val="none"/>
        </w:rPr>
        <w:t>时00分</w:t>
      </w:r>
    </w:p>
    <w:p>
      <w:pPr>
        <w:numPr>
          <w:ilvl w:val="1"/>
          <w:numId w:val="1"/>
        </w:numPr>
        <w:spacing w:line="500" w:lineRule="exact"/>
        <w:ind w:left="0" w:firstLine="425"/>
        <w:jc w:val="both"/>
        <w:rPr>
          <w:rFonts w:ascii="宋体" w:hAnsi="宋体" w:cs="宋体"/>
          <w:szCs w:val="21"/>
          <w:highlight w:val="none"/>
        </w:rPr>
      </w:pPr>
      <w:r>
        <w:rPr>
          <w:rFonts w:hint="eastAsia" w:ascii="宋体" w:hAnsi="宋体" w:cs="宋体"/>
          <w:szCs w:val="21"/>
          <w:highlight w:val="none"/>
        </w:rPr>
        <w:t>响应文件递交截至时间：</w:t>
      </w:r>
      <w:r>
        <w:rPr>
          <w:rFonts w:hint="eastAsia" w:ascii="宋体" w:hAnsi="宋体" w:cs="宋体"/>
          <w:highlight w:val="none"/>
        </w:rPr>
        <w:t>2020年</w:t>
      </w:r>
      <w:r>
        <w:rPr>
          <w:rFonts w:hint="eastAsia" w:ascii="宋体" w:hAnsi="宋体" w:cs="宋体"/>
          <w:highlight w:val="none"/>
          <w:lang w:val="en-US" w:eastAsia="zh-CN"/>
        </w:rPr>
        <w:t>08</w:t>
      </w:r>
      <w:r>
        <w:rPr>
          <w:rFonts w:hint="eastAsia" w:ascii="宋体" w:hAnsi="宋体" w:cs="宋体"/>
          <w:highlight w:val="none"/>
        </w:rPr>
        <w:t>月</w:t>
      </w:r>
      <w:r>
        <w:rPr>
          <w:rFonts w:hint="eastAsia" w:ascii="宋体" w:hAnsi="宋体" w:cs="宋体"/>
          <w:highlight w:val="none"/>
          <w:lang w:val="en-US" w:eastAsia="zh-CN"/>
        </w:rPr>
        <w:t>11</w:t>
      </w:r>
      <w:r>
        <w:rPr>
          <w:rFonts w:hint="eastAsia" w:ascii="宋体" w:hAnsi="宋体" w:cs="宋体"/>
          <w:highlight w:val="none"/>
        </w:rPr>
        <w:t>日</w:t>
      </w:r>
      <w:r>
        <w:rPr>
          <w:rFonts w:hint="eastAsia" w:ascii="宋体" w:hAnsi="宋体" w:cs="宋体"/>
          <w:highlight w:val="none"/>
          <w:lang w:val="en-US" w:eastAsia="zh-CN"/>
        </w:rPr>
        <w:t>14</w:t>
      </w:r>
      <w:r>
        <w:rPr>
          <w:rFonts w:hint="eastAsia" w:ascii="宋体" w:hAnsi="宋体" w:cs="宋体"/>
          <w:highlight w:val="none"/>
        </w:rPr>
        <w:t>时30分</w:t>
      </w:r>
    </w:p>
    <w:p>
      <w:pPr>
        <w:numPr>
          <w:ilvl w:val="1"/>
          <w:numId w:val="1"/>
        </w:numPr>
        <w:spacing w:line="500" w:lineRule="exact"/>
        <w:ind w:left="0" w:firstLine="425"/>
        <w:jc w:val="both"/>
        <w:rPr>
          <w:rFonts w:ascii="宋体" w:hAnsi="宋体" w:cs="宋体"/>
          <w:szCs w:val="21"/>
          <w:highlight w:val="none"/>
        </w:rPr>
      </w:pPr>
      <w:r>
        <w:rPr>
          <w:rFonts w:hint="eastAsia" w:ascii="宋体" w:hAnsi="宋体" w:cs="宋体"/>
          <w:szCs w:val="21"/>
          <w:highlight w:val="none"/>
        </w:rPr>
        <w:t>响应文件递交地点：</w:t>
      </w:r>
      <w:r>
        <w:rPr>
          <w:rFonts w:hint="eastAsia" w:ascii="宋体" w:hAnsi="宋体" w:cs="宋体"/>
          <w:highlight w:val="none"/>
        </w:rPr>
        <w:t>广州市环市中路316号金鹰大厦10楼会议室</w:t>
      </w:r>
    </w:p>
    <w:p>
      <w:pPr>
        <w:numPr>
          <w:ilvl w:val="1"/>
          <w:numId w:val="1"/>
        </w:numPr>
        <w:spacing w:line="500" w:lineRule="exact"/>
        <w:ind w:left="0" w:firstLine="425"/>
        <w:jc w:val="both"/>
        <w:rPr>
          <w:rFonts w:ascii="宋体" w:hAnsi="宋体" w:cs="宋体"/>
          <w:szCs w:val="21"/>
          <w:highlight w:val="none"/>
        </w:rPr>
      </w:pPr>
      <w:r>
        <w:rPr>
          <w:rFonts w:hint="eastAsia" w:ascii="宋体" w:hAnsi="宋体" w:cs="宋体"/>
          <w:szCs w:val="21"/>
          <w:highlight w:val="none"/>
        </w:rPr>
        <w:t>磋商时间：</w:t>
      </w:r>
      <w:r>
        <w:rPr>
          <w:rFonts w:hint="eastAsia" w:ascii="宋体" w:hAnsi="宋体" w:cs="宋体"/>
          <w:highlight w:val="none"/>
        </w:rPr>
        <w:t>2020年</w:t>
      </w:r>
      <w:r>
        <w:rPr>
          <w:rFonts w:hint="eastAsia" w:ascii="宋体" w:hAnsi="宋体" w:cs="宋体"/>
          <w:highlight w:val="none"/>
          <w:lang w:val="en-US" w:eastAsia="zh-CN"/>
        </w:rPr>
        <w:t>08</w:t>
      </w:r>
      <w:r>
        <w:rPr>
          <w:rFonts w:hint="eastAsia" w:ascii="宋体" w:hAnsi="宋体" w:cs="宋体"/>
          <w:highlight w:val="none"/>
        </w:rPr>
        <w:t>月</w:t>
      </w:r>
      <w:r>
        <w:rPr>
          <w:rFonts w:hint="eastAsia" w:ascii="宋体" w:hAnsi="宋体" w:cs="宋体"/>
          <w:highlight w:val="none"/>
          <w:lang w:val="en-US" w:eastAsia="zh-CN"/>
        </w:rPr>
        <w:t>11</w:t>
      </w:r>
      <w:r>
        <w:rPr>
          <w:rFonts w:hint="eastAsia" w:ascii="宋体" w:hAnsi="宋体" w:cs="宋体"/>
          <w:highlight w:val="none"/>
        </w:rPr>
        <w:t>日</w:t>
      </w:r>
      <w:r>
        <w:rPr>
          <w:rFonts w:hint="eastAsia" w:ascii="宋体" w:hAnsi="宋体" w:cs="宋体"/>
          <w:highlight w:val="none"/>
          <w:lang w:val="en-US" w:eastAsia="zh-CN"/>
        </w:rPr>
        <w:t>14</w:t>
      </w:r>
      <w:r>
        <w:rPr>
          <w:rFonts w:hint="eastAsia" w:ascii="宋体" w:hAnsi="宋体" w:cs="宋体"/>
          <w:highlight w:val="none"/>
        </w:rPr>
        <w:t>时30分</w:t>
      </w:r>
    </w:p>
    <w:p>
      <w:pPr>
        <w:numPr>
          <w:ilvl w:val="1"/>
          <w:numId w:val="1"/>
        </w:numPr>
        <w:spacing w:line="500" w:lineRule="exact"/>
        <w:ind w:left="0" w:firstLine="425"/>
        <w:jc w:val="both"/>
        <w:rPr>
          <w:rFonts w:ascii="宋体" w:hAnsi="宋体" w:cs="宋体"/>
          <w:szCs w:val="21"/>
          <w:highlight w:val="none"/>
        </w:rPr>
      </w:pPr>
      <w:r>
        <w:rPr>
          <w:rFonts w:hint="eastAsia" w:ascii="宋体" w:hAnsi="宋体" w:cs="宋体"/>
          <w:szCs w:val="21"/>
          <w:highlight w:val="none"/>
        </w:rPr>
        <w:t>磋商地点：</w:t>
      </w:r>
      <w:r>
        <w:rPr>
          <w:rFonts w:hint="eastAsia" w:ascii="宋体" w:hAnsi="宋体" w:cs="宋体"/>
          <w:highlight w:val="none"/>
        </w:rPr>
        <w:t>广州市环市中路316号金鹰大厦10楼会议室</w:t>
      </w:r>
    </w:p>
    <w:p>
      <w:pPr>
        <w:numPr>
          <w:ilvl w:val="1"/>
          <w:numId w:val="1"/>
        </w:numPr>
        <w:spacing w:line="500" w:lineRule="exact"/>
        <w:ind w:left="0" w:firstLine="425"/>
        <w:jc w:val="both"/>
        <w:rPr>
          <w:rFonts w:ascii="宋体" w:hAnsi="宋体" w:cs="宋体"/>
          <w:b/>
          <w:bCs/>
          <w:szCs w:val="21"/>
          <w:highlight w:val="none"/>
        </w:rPr>
      </w:pPr>
      <w:r>
        <w:rPr>
          <w:rFonts w:hint="eastAsia" w:ascii="宋体" w:hAnsi="宋体" w:cs="宋体"/>
          <w:b/>
          <w:bCs/>
          <w:szCs w:val="21"/>
          <w:highlight w:val="none"/>
        </w:rPr>
        <w:t>投标模式：纸质响应文件</w:t>
      </w:r>
    </w:p>
    <w:p>
      <w:pPr>
        <w:numPr>
          <w:ilvl w:val="1"/>
          <w:numId w:val="1"/>
        </w:numPr>
        <w:spacing w:line="500" w:lineRule="exact"/>
        <w:ind w:left="0" w:firstLine="425"/>
        <w:jc w:val="both"/>
        <w:rPr>
          <w:rFonts w:ascii="宋体" w:hAnsi="宋体" w:cs="宋体"/>
          <w:szCs w:val="21"/>
          <w:highlight w:val="none"/>
        </w:rPr>
      </w:pPr>
      <w:r>
        <w:rPr>
          <w:rFonts w:hint="eastAsia" w:ascii="宋体" w:hAnsi="宋体" w:cs="宋体"/>
          <w:highlight w:val="none"/>
        </w:rPr>
        <w:t>上述时间及地点是否有改变，请密切留意变更公告的相关信息。</w:t>
      </w:r>
    </w:p>
    <w:p>
      <w:pPr>
        <w:numPr>
          <w:ilvl w:val="0"/>
          <w:numId w:val="1"/>
        </w:numPr>
        <w:spacing w:line="500" w:lineRule="exact"/>
        <w:ind w:left="560" w:leftChars="255" w:hanging="25" w:hangingChars="12"/>
        <w:jc w:val="both"/>
        <w:rPr>
          <w:rFonts w:ascii="宋体" w:hAnsi="宋体" w:cs="宋体"/>
          <w:b/>
          <w:szCs w:val="21"/>
          <w:highlight w:val="none"/>
        </w:rPr>
      </w:pPr>
      <w:r>
        <w:rPr>
          <w:rFonts w:hint="eastAsia" w:ascii="宋体" w:hAnsi="宋体" w:cs="宋体"/>
          <w:b/>
          <w:szCs w:val="21"/>
          <w:highlight w:val="none"/>
        </w:rPr>
        <w:t>采购信息发布及结果公告网站</w:t>
      </w:r>
    </w:p>
    <w:p>
      <w:pPr>
        <w:spacing w:line="500" w:lineRule="exact"/>
        <w:ind w:left="424" w:leftChars="202" w:firstLine="420" w:firstLineChars="200"/>
        <w:rPr>
          <w:rFonts w:ascii="宋体" w:hAnsi="宋体" w:cs="宋体"/>
          <w:b/>
          <w:szCs w:val="21"/>
          <w:highlight w:val="none"/>
        </w:rPr>
      </w:pPr>
      <w:r>
        <w:rPr>
          <w:rFonts w:hint="eastAsia" w:ascii="宋体" w:hAnsi="宋体" w:cs="宋体"/>
          <w:szCs w:val="21"/>
          <w:highlight w:val="none"/>
        </w:rPr>
        <w:t>中国招标投标公共服务平台（http://www.cebpubservice.com/）、广咨电子招投标交易平台（http://www.gzebid.cn/）及其他相关媒体。</w:t>
      </w:r>
    </w:p>
    <w:p>
      <w:pPr>
        <w:numPr>
          <w:ilvl w:val="0"/>
          <w:numId w:val="1"/>
        </w:numPr>
        <w:spacing w:line="500" w:lineRule="exact"/>
        <w:ind w:left="560" w:leftChars="255" w:hanging="25" w:hangingChars="12"/>
        <w:jc w:val="both"/>
        <w:rPr>
          <w:rFonts w:ascii="宋体" w:hAnsi="宋体" w:cs="宋体"/>
          <w:b/>
          <w:szCs w:val="21"/>
          <w:highlight w:val="none"/>
        </w:rPr>
      </w:pPr>
      <w:r>
        <w:rPr>
          <w:rFonts w:hint="eastAsia" w:ascii="宋体" w:hAnsi="宋体" w:cs="宋体"/>
          <w:b/>
          <w:szCs w:val="21"/>
          <w:highlight w:val="none"/>
        </w:rPr>
        <w:t>采购人、采购代理机构的名称、地址和联系方式</w:t>
      </w:r>
    </w:p>
    <w:p>
      <w:pPr>
        <w:numPr>
          <w:ilvl w:val="1"/>
          <w:numId w:val="1"/>
        </w:numPr>
        <w:spacing w:line="500" w:lineRule="exact"/>
        <w:ind w:left="1134" w:hanging="709"/>
        <w:jc w:val="both"/>
        <w:rPr>
          <w:rFonts w:ascii="宋体" w:hAnsi="宋体" w:cs="宋体"/>
          <w:szCs w:val="21"/>
          <w:highlight w:val="none"/>
        </w:rPr>
      </w:pPr>
      <w:r>
        <w:rPr>
          <w:rFonts w:hint="eastAsia" w:ascii="宋体" w:hAnsi="宋体" w:cs="宋体"/>
          <w:szCs w:val="21"/>
          <w:highlight w:val="none"/>
        </w:rPr>
        <w:t>采购人：</w:t>
      </w:r>
    </w:p>
    <w:p>
      <w:pPr>
        <w:spacing w:line="500" w:lineRule="exact"/>
        <w:ind w:left="540" w:leftChars="257"/>
        <w:jc w:val="both"/>
        <w:rPr>
          <w:rFonts w:ascii="宋体" w:hAnsi="宋体" w:cs="宋体"/>
          <w:szCs w:val="21"/>
          <w:highlight w:val="none"/>
        </w:rPr>
      </w:pPr>
      <w:r>
        <w:rPr>
          <w:rFonts w:hint="eastAsia" w:ascii="宋体" w:hAnsi="宋体" w:cs="宋体"/>
          <w:szCs w:val="21"/>
          <w:highlight w:val="none"/>
        </w:rPr>
        <w:t>名称：华南师范大学</w:t>
      </w:r>
    </w:p>
    <w:p>
      <w:pPr>
        <w:spacing w:line="500" w:lineRule="exact"/>
        <w:ind w:left="540" w:leftChars="257"/>
        <w:jc w:val="both"/>
        <w:rPr>
          <w:rFonts w:ascii="宋体" w:hAnsi="宋体" w:cs="宋体"/>
          <w:szCs w:val="21"/>
          <w:highlight w:val="none"/>
        </w:rPr>
      </w:pPr>
      <w:r>
        <w:rPr>
          <w:rFonts w:hint="eastAsia" w:ascii="宋体" w:hAnsi="宋体" w:cs="宋体"/>
          <w:szCs w:val="21"/>
          <w:highlight w:val="none"/>
        </w:rPr>
        <w:t>地址：广州市天河区中山大道西55号</w:t>
      </w:r>
    </w:p>
    <w:p>
      <w:pPr>
        <w:numPr>
          <w:ilvl w:val="1"/>
          <w:numId w:val="1"/>
        </w:numPr>
        <w:spacing w:line="500" w:lineRule="exact"/>
        <w:ind w:left="1134" w:hanging="709"/>
        <w:jc w:val="both"/>
        <w:rPr>
          <w:rFonts w:ascii="宋体" w:hAnsi="宋体" w:cs="宋体"/>
          <w:szCs w:val="21"/>
          <w:highlight w:val="none"/>
        </w:rPr>
      </w:pPr>
      <w:r>
        <w:rPr>
          <w:rFonts w:hint="eastAsia" w:ascii="宋体" w:hAnsi="宋体" w:cs="宋体"/>
          <w:szCs w:val="21"/>
          <w:highlight w:val="none"/>
        </w:rPr>
        <w:t>采购代理机构：</w:t>
      </w:r>
    </w:p>
    <w:p>
      <w:pPr>
        <w:spacing w:line="500" w:lineRule="exact"/>
        <w:ind w:left="540" w:leftChars="257"/>
        <w:jc w:val="both"/>
        <w:rPr>
          <w:rFonts w:ascii="宋体" w:hAnsi="宋体" w:cs="宋体"/>
          <w:szCs w:val="21"/>
          <w:highlight w:val="none"/>
        </w:rPr>
      </w:pPr>
      <w:r>
        <w:rPr>
          <w:rFonts w:hint="eastAsia" w:ascii="宋体" w:hAnsi="宋体" w:cs="宋体"/>
          <w:szCs w:val="21"/>
          <w:highlight w:val="none"/>
        </w:rPr>
        <w:t>名称：广东省机电设备招标有限公司</w:t>
      </w:r>
    </w:p>
    <w:p>
      <w:pPr>
        <w:spacing w:line="500" w:lineRule="exact"/>
        <w:ind w:left="540" w:leftChars="257"/>
        <w:jc w:val="both"/>
        <w:rPr>
          <w:rFonts w:ascii="宋体" w:hAnsi="宋体" w:cs="宋体"/>
          <w:szCs w:val="21"/>
          <w:highlight w:val="none"/>
        </w:rPr>
      </w:pPr>
      <w:r>
        <w:rPr>
          <w:rFonts w:hint="eastAsia" w:ascii="宋体" w:hAnsi="宋体" w:cs="宋体"/>
          <w:szCs w:val="21"/>
          <w:highlight w:val="none"/>
        </w:rPr>
        <w:t>地址：广州市环市中路316号金鹰大厦10-11、25楼</w:t>
      </w:r>
    </w:p>
    <w:p>
      <w:pPr>
        <w:spacing w:line="500" w:lineRule="exact"/>
        <w:ind w:left="540" w:leftChars="257"/>
        <w:jc w:val="both"/>
        <w:rPr>
          <w:rFonts w:ascii="宋体" w:hAnsi="宋体" w:cs="宋体"/>
          <w:szCs w:val="21"/>
          <w:highlight w:val="none"/>
        </w:rPr>
      </w:pPr>
      <w:r>
        <w:rPr>
          <w:rFonts w:hint="eastAsia" w:ascii="宋体" w:hAnsi="宋体" w:cs="宋体"/>
          <w:szCs w:val="21"/>
          <w:highlight w:val="none"/>
        </w:rPr>
        <w:t>采购项目联系人：邵工，赵工，罗小姐</w:t>
      </w:r>
    </w:p>
    <w:p>
      <w:pPr>
        <w:spacing w:line="500" w:lineRule="exact"/>
        <w:ind w:left="540" w:leftChars="257"/>
        <w:jc w:val="both"/>
        <w:rPr>
          <w:rFonts w:ascii="宋体" w:hAnsi="宋体" w:cs="宋体"/>
          <w:szCs w:val="21"/>
          <w:highlight w:val="none"/>
        </w:rPr>
      </w:pPr>
      <w:r>
        <w:rPr>
          <w:rFonts w:hint="eastAsia" w:ascii="宋体" w:hAnsi="宋体" w:cs="宋体"/>
          <w:szCs w:val="21"/>
          <w:highlight w:val="none"/>
        </w:rPr>
        <w:t>电话：020-83541837，020-83542319</w:t>
      </w:r>
    </w:p>
    <w:p>
      <w:pPr>
        <w:spacing w:line="500" w:lineRule="exact"/>
        <w:ind w:left="540" w:leftChars="257"/>
        <w:jc w:val="both"/>
        <w:rPr>
          <w:rFonts w:ascii="宋体" w:hAnsi="宋体" w:cs="宋体"/>
          <w:szCs w:val="21"/>
          <w:highlight w:val="none"/>
        </w:rPr>
      </w:pPr>
      <w:r>
        <w:rPr>
          <w:rFonts w:hint="eastAsia" w:ascii="宋体" w:hAnsi="宋体" w:cs="宋体"/>
          <w:szCs w:val="21"/>
          <w:highlight w:val="none"/>
        </w:rPr>
        <w:t>E-mail：</w:t>
      </w:r>
      <w:r>
        <w:rPr>
          <w:highlight w:val="none"/>
        </w:rPr>
        <w:fldChar w:fldCharType="begin"/>
      </w:r>
      <w:r>
        <w:rPr>
          <w:highlight w:val="none"/>
        </w:rPr>
        <w:instrText xml:space="preserve"> HYPERLINK "mailto:gmetb3@163.com" </w:instrText>
      </w:r>
      <w:r>
        <w:rPr>
          <w:highlight w:val="none"/>
        </w:rPr>
        <w:fldChar w:fldCharType="separate"/>
      </w:r>
      <w:r>
        <w:rPr>
          <w:rFonts w:hint="eastAsia" w:ascii="宋体" w:hAnsi="宋体" w:cs="宋体"/>
          <w:szCs w:val="21"/>
          <w:highlight w:val="none"/>
        </w:rPr>
        <w:t>gmetb3@163.com</w:t>
      </w:r>
      <w:r>
        <w:rPr>
          <w:rFonts w:hint="eastAsia" w:ascii="宋体" w:hAnsi="宋体" w:cs="宋体"/>
          <w:szCs w:val="21"/>
          <w:highlight w:val="none"/>
        </w:rPr>
        <w:fldChar w:fldCharType="end"/>
      </w:r>
    </w:p>
    <w:p>
      <w:pPr>
        <w:spacing w:line="500" w:lineRule="exact"/>
        <w:ind w:left="540" w:leftChars="257"/>
        <w:jc w:val="both"/>
        <w:rPr>
          <w:rFonts w:ascii="宋体" w:hAnsi="宋体" w:cs="宋体"/>
          <w:szCs w:val="21"/>
          <w:highlight w:val="none"/>
        </w:rPr>
      </w:pPr>
    </w:p>
    <w:p>
      <w:pPr>
        <w:spacing w:line="500" w:lineRule="exact"/>
        <w:ind w:left="540" w:leftChars="257"/>
        <w:jc w:val="both"/>
        <w:rPr>
          <w:rFonts w:ascii="宋体" w:hAnsi="宋体" w:cs="宋体"/>
          <w:szCs w:val="21"/>
          <w:highlight w:val="none"/>
        </w:rPr>
      </w:pPr>
    </w:p>
    <w:p>
      <w:pPr>
        <w:spacing w:line="500" w:lineRule="exact"/>
        <w:ind w:left="700" w:right="1384"/>
        <w:jc w:val="right"/>
        <w:rPr>
          <w:rFonts w:ascii="宋体" w:hAnsi="宋体" w:cs="宋体"/>
          <w:b/>
          <w:bCs/>
          <w:szCs w:val="21"/>
          <w:highlight w:val="none"/>
        </w:rPr>
      </w:pPr>
      <w:r>
        <w:rPr>
          <w:rFonts w:hint="eastAsia" w:ascii="宋体" w:hAnsi="宋体" w:cs="宋体"/>
          <w:b/>
          <w:bCs/>
          <w:szCs w:val="21"/>
          <w:highlight w:val="none"/>
        </w:rPr>
        <w:t>广东省机电设备招标有限公司</w:t>
      </w:r>
    </w:p>
    <w:p>
      <w:pPr>
        <w:spacing w:line="500" w:lineRule="exact"/>
        <w:ind w:right="1384"/>
        <w:jc w:val="right"/>
        <w:rPr>
          <w:rFonts w:ascii="宋体" w:hAnsi="宋体" w:cs="宋体"/>
          <w:highlight w:val="none"/>
        </w:rPr>
      </w:pPr>
      <w:bookmarkStart w:id="31" w:name="_Toc42313150"/>
      <w:bookmarkStart w:id="32" w:name="_Toc41884682"/>
      <w:bookmarkStart w:id="33" w:name="_Toc98579049"/>
      <w:bookmarkStart w:id="34" w:name="_Toc98035084"/>
      <w:bookmarkStart w:id="35" w:name="_Toc46308523"/>
      <w:bookmarkStart w:id="36" w:name="_Toc101771355"/>
      <w:bookmarkStart w:id="37" w:name="_Toc101775108"/>
      <w:bookmarkStart w:id="38" w:name="_Toc101843108"/>
      <w:bookmarkStart w:id="39" w:name="_Toc98578991"/>
      <w:bookmarkStart w:id="40" w:name="_Toc42394495"/>
      <w:bookmarkStart w:id="41" w:name="_Toc98580273"/>
      <w:bookmarkStart w:id="42" w:name="_Toc101951241"/>
      <w:bookmarkStart w:id="43" w:name="_Toc46308679"/>
      <w:bookmarkStart w:id="44" w:name="_Toc469512573"/>
      <w:bookmarkStart w:id="45" w:name="_Toc41723912"/>
      <w:bookmarkStart w:id="46" w:name="_Toc497687498"/>
      <w:bookmarkStart w:id="47" w:name="_Toc469512799"/>
      <w:bookmarkStart w:id="48" w:name="_Toc98579590"/>
      <w:bookmarkStart w:id="49" w:name="_Toc175644385"/>
      <w:bookmarkStart w:id="50" w:name="_Toc497225611"/>
      <w:bookmarkStart w:id="51" w:name="_Toc42394652"/>
      <w:r>
        <w:rPr>
          <w:rFonts w:hint="eastAsia" w:ascii="宋体" w:hAnsi="宋体" w:cs="宋体"/>
          <w:b/>
          <w:bCs/>
          <w:highlight w:val="none"/>
        </w:rPr>
        <w:t>2020年</w:t>
      </w:r>
      <w:r>
        <w:rPr>
          <w:rFonts w:hint="eastAsia" w:ascii="宋体" w:hAnsi="宋体" w:cs="宋体"/>
          <w:b/>
          <w:bCs/>
          <w:highlight w:val="none"/>
          <w:lang w:val="en-US" w:eastAsia="zh-CN"/>
        </w:rPr>
        <w:t>07</w:t>
      </w:r>
      <w:r>
        <w:rPr>
          <w:rFonts w:hint="eastAsia" w:ascii="宋体" w:hAnsi="宋体" w:cs="宋体"/>
          <w:b/>
          <w:bCs/>
          <w:highlight w:val="none"/>
        </w:rPr>
        <w:t>月</w:t>
      </w:r>
      <w:r>
        <w:rPr>
          <w:rFonts w:hint="eastAsia" w:ascii="宋体" w:hAnsi="宋体" w:cs="宋体"/>
          <w:b/>
          <w:bCs/>
          <w:highlight w:val="none"/>
          <w:lang w:val="en-US" w:eastAsia="zh-CN"/>
        </w:rPr>
        <w:t>24</w:t>
      </w:r>
      <w:r>
        <w:rPr>
          <w:rFonts w:hint="eastAsia" w:ascii="宋体" w:hAnsi="宋体" w:cs="宋体"/>
          <w:b/>
          <w:bCs/>
          <w:highlight w:val="none"/>
        </w:rPr>
        <w:t>日</w:t>
      </w:r>
    </w:p>
    <w:p>
      <w:pPr>
        <w:pStyle w:val="2"/>
        <w:spacing w:before="0" w:after="0" w:line="360" w:lineRule="auto"/>
        <w:jc w:val="center"/>
        <w:rPr>
          <w:rFonts w:ascii="宋体" w:hAnsi="宋体" w:cs="宋体"/>
          <w:sz w:val="24"/>
          <w:szCs w:val="24"/>
          <w:highlight w:val="none"/>
        </w:rPr>
      </w:pPr>
      <w:r>
        <w:rPr>
          <w:rFonts w:hint="eastAsia" w:ascii="宋体" w:hAnsi="宋体" w:cs="宋体"/>
          <w:highlight w:val="none"/>
        </w:rPr>
        <w:br w:type="page"/>
      </w:r>
      <w:bookmarkStart w:id="52" w:name="_Toc519164435"/>
      <w:bookmarkStart w:id="53" w:name="_Toc519164289"/>
      <w:bookmarkStart w:id="54" w:name="_Toc24738"/>
      <w:bookmarkStart w:id="55" w:name="_Toc24256"/>
      <w:bookmarkStart w:id="56" w:name="_Toc532567114"/>
      <w:bookmarkStart w:id="57" w:name="_Toc27239"/>
      <w:bookmarkStart w:id="58" w:name="_Toc6905"/>
      <w:bookmarkStart w:id="59" w:name="_Toc15537"/>
      <w:bookmarkStart w:id="60" w:name="_Toc526765921"/>
      <w:bookmarkStart w:id="61" w:name="_Toc14401"/>
      <w:bookmarkStart w:id="62" w:name="_Toc502737212"/>
      <w:bookmarkStart w:id="63" w:name="_Toc10437"/>
      <w:bookmarkStart w:id="64" w:name="_Toc22749"/>
      <w:r>
        <w:rPr>
          <w:rFonts w:hint="eastAsia" w:ascii="宋体" w:hAnsi="宋体" w:cs="宋体"/>
          <w:sz w:val="24"/>
          <w:szCs w:val="24"/>
          <w:highlight w:val="none"/>
        </w:rPr>
        <w:t>第一章 供应商须知</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pPr>
        <w:spacing w:after="120" w:afterLines="50" w:line="360" w:lineRule="auto"/>
        <w:ind w:firstLine="371" w:firstLineChars="177"/>
        <w:rPr>
          <w:rFonts w:ascii="宋体" w:hAnsi="宋体" w:cs="宋体"/>
          <w:szCs w:val="21"/>
          <w:highlight w:val="none"/>
        </w:rPr>
      </w:pPr>
      <w:r>
        <w:rPr>
          <w:rFonts w:hint="eastAsia" w:ascii="宋体" w:hAnsi="宋体" w:cs="宋体"/>
          <w:szCs w:val="21"/>
          <w:highlight w:val="none"/>
        </w:rPr>
        <w:t>供应商必须认真阅读竞争性磋商文件中所有的事项、格式、条款和</w:t>
      </w:r>
      <w:r>
        <w:rPr>
          <w:rFonts w:hint="eastAsia" w:ascii="宋体" w:hAnsi="宋体" w:cs="宋体"/>
          <w:szCs w:val="21"/>
          <w:highlight w:val="none"/>
          <w:lang w:val="en-US" w:eastAsia="zh-CN"/>
        </w:rPr>
        <w:t>用户</w:t>
      </w:r>
      <w:r>
        <w:rPr>
          <w:rFonts w:hint="eastAsia" w:ascii="宋体" w:hAnsi="宋体" w:cs="宋体"/>
          <w:szCs w:val="21"/>
          <w:highlight w:val="none"/>
        </w:rPr>
        <w:t>需求等。供应商没有按照竞争性磋商文件要求提交全部资料，或者响应文件没有对竞争性磋商文件在各方面都做出实质性响应是供应商的风险，并可能导致其无效响应或被拒绝。</w:t>
      </w:r>
    </w:p>
    <w:p>
      <w:pPr>
        <w:pStyle w:val="3"/>
        <w:numPr>
          <w:ilvl w:val="0"/>
          <w:numId w:val="2"/>
        </w:numPr>
        <w:ind w:left="567" w:hanging="27"/>
        <w:jc w:val="left"/>
        <w:rPr>
          <w:rFonts w:hAnsi="宋体" w:cs="宋体"/>
          <w:b/>
          <w:sz w:val="21"/>
          <w:szCs w:val="21"/>
          <w:highlight w:val="none"/>
        </w:rPr>
      </w:pPr>
      <w:bookmarkStart w:id="65" w:name="_Toc519164290"/>
      <w:bookmarkStart w:id="66" w:name="_Toc469512574"/>
      <w:bookmarkStart w:id="67" w:name="_Toc497687499"/>
      <w:bookmarkStart w:id="68" w:name="_Toc20447"/>
      <w:bookmarkStart w:id="69" w:name="_Toc502737213"/>
      <w:bookmarkStart w:id="70" w:name="_Toc519164436"/>
      <w:bookmarkStart w:id="71" w:name="_Toc469512800"/>
      <w:bookmarkStart w:id="72" w:name="_Toc29300"/>
      <w:bookmarkStart w:id="73" w:name="_Toc5617"/>
      <w:bookmarkStart w:id="74" w:name="_Toc532567115"/>
      <w:bookmarkStart w:id="75" w:name="_Toc25972"/>
      <w:bookmarkStart w:id="76" w:name="_Toc31321"/>
      <w:bookmarkStart w:id="77" w:name="_Toc526765922"/>
      <w:bookmarkStart w:id="78" w:name="_Toc29416"/>
      <w:bookmarkStart w:id="79" w:name="_Toc17323"/>
      <w:bookmarkStart w:id="80" w:name="_Toc497225612"/>
      <w:bookmarkStart w:id="81" w:name="_Toc1777"/>
      <w:bookmarkStart w:id="82" w:name="_Toc175644386"/>
      <w:r>
        <w:rPr>
          <w:rFonts w:hint="eastAsia" w:hAnsi="宋体" w:cs="宋体"/>
          <w:b/>
          <w:sz w:val="21"/>
          <w:szCs w:val="21"/>
          <w:highlight w:val="none"/>
        </w:rPr>
        <w:t>定义</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pPr>
        <w:pStyle w:val="5"/>
        <w:numPr>
          <w:ilvl w:val="1"/>
          <w:numId w:val="2"/>
        </w:numPr>
        <w:tabs>
          <w:tab w:val="clear" w:pos="851"/>
        </w:tabs>
        <w:ind w:left="1134" w:hanging="709"/>
        <w:rPr>
          <w:rFonts w:hAnsi="宋体" w:cs="宋体"/>
          <w:szCs w:val="21"/>
          <w:highlight w:val="none"/>
        </w:rPr>
      </w:pPr>
      <w:bookmarkStart w:id="83" w:name="_Toc519164291"/>
      <w:bookmarkStart w:id="84" w:name="_Toc497687500"/>
      <w:bookmarkStart w:id="85" w:name="_Toc519164437"/>
      <w:bookmarkStart w:id="86" w:name="_Toc469512801"/>
      <w:bookmarkStart w:id="87" w:name="_Toc19639"/>
      <w:bookmarkStart w:id="88" w:name="_Toc12454"/>
      <w:bookmarkStart w:id="89" w:name="_Toc469512575"/>
      <w:bookmarkStart w:id="90" w:name="_Toc28427"/>
      <w:bookmarkStart w:id="91" w:name="_Toc23760"/>
      <w:bookmarkStart w:id="92" w:name="_Toc14752"/>
      <w:bookmarkStart w:id="93" w:name="_Toc502737214"/>
      <w:bookmarkStart w:id="94" w:name="_Toc526765923"/>
      <w:bookmarkStart w:id="95" w:name="_Toc497225613"/>
      <w:bookmarkStart w:id="96" w:name="_Toc8633"/>
      <w:bookmarkStart w:id="97" w:name="_Toc532567116"/>
      <w:bookmarkStart w:id="98" w:name="_Toc18517"/>
      <w:r>
        <w:rPr>
          <w:rFonts w:hint="eastAsia" w:hAnsi="宋体" w:cs="宋体"/>
          <w:szCs w:val="21"/>
          <w:highlight w:val="none"/>
        </w:rPr>
        <w:t>采购人：是指依法进行政府采购的国家机关、事业单位、团体组织。</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pPr>
        <w:pStyle w:val="5"/>
        <w:numPr>
          <w:ilvl w:val="1"/>
          <w:numId w:val="2"/>
        </w:numPr>
        <w:tabs>
          <w:tab w:val="clear" w:pos="851"/>
        </w:tabs>
        <w:ind w:left="1134" w:hanging="709"/>
        <w:rPr>
          <w:rFonts w:hAnsi="宋体" w:cs="宋体"/>
          <w:szCs w:val="21"/>
          <w:highlight w:val="none"/>
        </w:rPr>
      </w:pPr>
      <w:bookmarkStart w:id="99" w:name="_Toc526765924"/>
      <w:bookmarkStart w:id="100" w:name="_Toc17963"/>
      <w:bookmarkStart w:id="101" w:name="_Toc519164292"/>
      <w:bookmarkStart w:id="102" w:name="_Toc469512576"/>
      <w:bookmarkStart w:id="103" w:name="_Toc15554"/>
      <w:bookmarkStart w:id="104" w:name="_Toc8525"/>
      <w:bookmarkStart w:id="105" w:name="_Toc22495"/>
      <w:bookmarkStart w:id="106" w:name="_Toc532567117"/>
      <w:bookmarkStart w:id="107" w:name="_Toc469512802"/>
      <w:bookmarkStart w:id="108" w:name="_Toc497225614"/>
      <w:bookmarkStart w:id="109" w:name="_Toc502737215"/>
      <w:bookmarkStart w:id="110" w:name="_Toc497687501"/>
      <w:bookmarkStart w:id="111" w:name="_Toc14853"/>
      <w:bookmarkStart w:id="112" w:name="_Toc25663"/>
      <w:bookmarkStart w:id="113" w:name="_Toc519164438"/>
      <w:bookmarkStart w:id="114" w:name="_Toc27512"/>
      <w:r>
        <w:rPr>
          <w:rFonts w:hint="eastAsia" w:hAnsi="宋体" w:cs="宋体"/>
          <w:szCs w:val="21"/>
          <w:highlight w:val="none"/>
        </w:rPr>
        <w:t>采购代理机构：是依法设立、从事竞争性磋商代理业务并提供相关服务的社会中介组织。</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pPr>
        <w:pStyle w:val="5"/>
        <w:numPr>
          <w:ilvl w:val="1"/>
          <w:numId w:val="2"/>
        </w:numPr>
        <w:tabs>
          <w:tab w:val="clear" w:pos="851"/>
        </w:tabs>
        <w:ind w:left="1134" w:hanging="709"/>
        <w:rPr>
          <w:rFonts w:hAnsi="宋体" w:cs="宋体"/>
          <w:szCs w:val="21"/>
          <w:highlight w:val="none"/>
        </w:rPr>
      </w:pPr>
      <w:bookmarkStart w:id="115" w:name="_Toc469512577"/>
      <w:bookmarkStart w:id="116" w:name="_Toc7772"/>
      <w:bookmarkStart w:id="117" w:name="_Toc6114"/>
      <w:bookmarkStart w:id="118" w:name="_Toc519164439"/>
      <w:bookmarkStart w:id="119" w:name="_Toc4578"/>
      <w:bookmarkStart w:id="120" w:name="_Toc13117"/>
      <w:bookmarkStart w:id="121" w:name="_Toc502737216"/>
      <w:bookmarkStart w:id="122" w:name="_Toc497687502"/>
      <w:bookmarkStart w:id="123" w:name="_Toc526765925"/>
      <w:bookmarkStart w:id="124" w:name="_Toc532567118"/>
      <w:bookmarkStart w:id="125" w:name="_Toc24794"/>
      <w:bookmarkStart w:id="126" w:name="_Toc519164293"/>
      <w:bookmarkStart w:id="127" w:name="_Toc469512803"/>
      <w:bookmarkStart w:id="128" w:name="_Toc23481"/>
      <w:bookmarkStart w:id="129" w:name="_Toc497225615"/>
      <w:bookmarkStart w:id="130" w:name="_Toc6941"/>
      <w:r>
        <w:rPr>
          <w:rFonts w:hint="eastAsia" w:hAnsi="宋体" w:cs="宋体"/>
          <w:szCs w:val="21"/>
          <w:highlight w:val="none"/>
        </w:rPr>
        <w:t>供应商：是响应竞争性磋商、参加磋商竞争的法人或者其他组织。</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pPr>
        <w:pStyle w:val="5"/>
        <w:numPr>
          <w:ilvl w:val="1"/>
          <w:numId w:val="2"/>
        </w:numPr>
        <w:tabs>
          <w:tab w:val="clear" w:pos="851"/>
        </w:tabs>
        <w:ind w:left="1134" w:hanging="709"/>
        <w:rPr>
          <w:rFonts w:hAnsi="宋体" w:cs="宋体"/>
          <w:b/>
          <w:szCs w:val="21"/>
          <w:highlight w:val="none"/>
        </w:rPr>
      </w:pPr>
      <w:bookmarkStart w:id="131" w:name="_Toc502737217"/>
      <w:bookmarkStart w:id="132" w:name="_Toc497225616"/>
      <w:bookmarkStart w:id="133" w:name="_Toc3131"/>
      <w:bookmarkStart w:id="134" w:name="_Toc469512578"/>
      <w:bookmarkStart w:id="135" w:name="_Toc519164294"/>
      <w:bookmarkStart w:id="136" w:name="_Toc532567119"/>
      <w:bookmarkStart w:id="137" w:name="_Toc29674"/>
      <w:bookmarkStart w:id="138" w:name="_Toc5639"/>
      <w:bookmarkStart w:id="139" w:name="_Toc519164440"/>
      <w:bookmarkStart w:id="140" w:name="_Toc2740"/>
      <w:bookmarkStart w:id="141" w:name="_Toc32089"/>
      <w:bookmarkStart w:id="142" w:name="_Toc27902"/>
      <w:bookmarkStart w:id="143" w:name="_Toc469512804"/>
      <w:bookmarkStart w:id="144" w:name="_Toc497687503"/>
      <w:bookmarkStart w:id="145" w:name="_Toc526765926"/>
      <w:bookmarkStart w:id="146" w:name="_Toc31665"/>
      <w:r>
        <w:rPr>
          <w:rFonts w:hint="eastAsia" w:hAnsi="宋体" w:cs="宋体"/>
          <w:szCs w:val="21"/>
          <w:highlight w:val="none"/>
        </w:rPr>
        <w:t>采购合同：是指由采购人和供应商签订的规定双方权利和义务的协议</w:t>
      </w:r>
      <w:r>
        <w:rPr>
          <w:rFonts w:hint="eastAsia" w:hAnsi="宋体" w:cs="宋体"/>
          <w:b/>
          <w:szCs w:val="21"/>
          <w:highlight w:val="none"/>
        </w:rPr>
        <w:t>。</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pPr>
        <w:pStyle w:val="4"/>
        <w:rPr>
          <w:rFonts w:ascii="宋体" w:hAnsi="宋体" w:cs="宋体"/>
          <w:highlight w:val="none"/>
        </w:rPr>
      </w:pPr>
    </w:p>
    <w:p>
      <w:pPr>
        <w:pStyle w:val="3"/>
        <w:numPr>
          <w:ilvl w:val="0"/>
          <w:numId w:val="2"/>
        </w:numPr>
        <w:ind w:left="567" w:hanging="27"/>
        <w:jc w:val="left"/>
        <w:rPr>
          <w:rFonts w:hAnsi="宋体" w:cs="宋体"/>
          <w:b/>
          <w:sz w:val="21"/>
          <w:szCs w:val="21"/>
          <w:highlight w:val="none"/>
        </w:rPr>
      </w:pPr>
      <w:bookmarkStart w:id="147" w:name="_Toc497225617"/>
      <w:bookmarkStart w:id="148" w:name="_Toc519164295"/>
      <w:bookmarkStart w:id="149" w:name="_Toc502737218"/>
      <w:bookmarkStart w:id="150" w:name="_Toc469512579"/>
      <w:bookmarkStart w:id="151" w:name="_Toc3258"/>
      <w:bookmarkStart w:id="152" w:name="_Toc519164441"/>
      <w:bookmarkStart w:id="153" w:name="_Toc497687504"/>
      <w:bookmarkStart w:id="154" w:name="_Toc469512805"/>
      <w:bookmarkStart w:id="155" w:name="_Toc526765927"/>
      <w:bookmarkStart w:id="156" w:name="_Toc6176"/>
      <w:bookmarkStart w:id="157" w:name="_Toc31847"/>
      <w:bookmarkStart w:id="158" w:name="_Toc8871"/>
      <w:bookmarkStart w:id="159" w:name="_Toc6664"/>
      <w:bookmarkStart w:id="160" w:name="_Toc13517"/>
      <w:bookmarkStart w:id="161" w:name="_Toc532567120"/>
      <w:bookmarkStart w:id="162" w:name="_Toc29709"/>
      <w:bookmarkStart w:id="163" w:name="_Toc7004"/>
      <w:r>
        <w:rPr>
          <w:rFonts w:hint="eastAsia" w:hAnsi="宋体" w:cs="宋体"/>
          <w:b/>
          <w:sz w:val="21"/>
          <w:szCs w:val="21"/>
          <w:highlight w:val="none"/>
        </w:rPr>
        <w:t>一般要求</w:t>
      </w:r>
      <w:bookmarkEnd w:id="82"/>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pPr>
        <w:pStyle w:val="5"/>
        <w:numPr>
          <w:ilvl w:val="1"/>
          <w:numId w:val="2"/>
        </w:numPr>
        <w:tabs>
          <w:tab w:val="clear" w:pos="851"/>
        </w:tabs>
        <w:ind w:left="1134" w:hanging="709"/>
        <w:rPr>
          <w:rFonts w:hAnsi="宋体" w:cs="宋体"/>
          <w:b/>
          <w:szCs w:val="21"/>
          <w:highlight w:val="none"/>
        </w:rPr>
      </w:pPr>
      <w:bookmarkStart w:id="164" w:name="_Toc101771359"/>
      <w:bookmarkStart w:id="165" w:name="_Toc101775112"/>
      <w:bookmarkStart w:id="166" w:name="_Toc98580277"/>
      <w:bookmarkStart w:id="167" w:name="_Toc101951245"/>
      <w:bookmarkStart w:id="168" w:name="_Toc29581"/>
      <w:bookmarkStart w:id="169" w:name="_Toc101843112"/>
      <w:bookmarkStart w:id="170" w:name="_Toc134956119"/>
      <w:bookmarkStart w:id="171" w:name="_Toc526765928"/>
      <w:bookmarkStart w:id="172" w:name="_Toc50276141"/>
      <w:bookmarkStart w:id="173" w:name="_Toc98579594"/>
      <w:bookmarkStart w:id="174" w:name="_Toc42313155"/>
      <w:bookmarkStart w:id="175" w:name="_Toc41723917"/>
      <w:bookmarkStart w:id="176" w:name="_Toc497225618"/>
      <w:bookmarkStart w:id="177" w:name="_Toc17999"/>
      <w:bookmarkStart w:id="178" w:name="_Toc98579053"/>
      <w:bookmarkStart w:id="179" w:name="_Toc469512580"/>
      <w:bookmarkStart w:id="180" w:name="_Toc497687505"/>
      <w:bookmarkStart w:id="181" w:name="_Toc532567121"/>
      <w:bookmarkStart w:id="182" w:name="_Toc42394500"/>
      <w:bookmarkStart w:id="183" w:name="_Toc469512806"/>
      <w:bookmarkStart w:id="184" w:name="_Toc502737219"/>
      <w:bookmarkStart w:id="185" w:name="_Toc12251"/>
      <w:bookmarkStart w:id="186" w:name="_Toc98578995"/>
      <w:bookmarkStart w:id="187" w:name="_Toc41884687"/>
      <w:bookmarkStart w:id="188" w:name="_Toc42394657"/>
      <w:bookmarkStart w:id="189" w:name="_Toc519164296"/>
      <w:bookmarkStart w:id="190" w:name="_Toc519164442"/>
      <w:bookmarkStart w:id="191" w:name="_Toc30126"/>
      <w:bookmarkStart w:id="192" w:name="_Toc7024"/>
      <w:bookmarkStart w:id="193" w:name="_Toc27943"/>
      <w:bookmarkStart w:id="194" w:name="_Toc2135"/>
      <w:bookmarkStart w:id="195" w:name="_Toc101843113"/>
      <w:bookmarkStart w:id="196" w:name="_Toc101951246"/>
      <w:bookmarkStart w:id="197" w:name="_Toc98578997"/>
      <w:bookmarkStart w:id="198" w:name="_Toc101775113"/>
      <w:bookmarkStart w:id="199" w:name="_Toc42394502"/>
      <w:bookmarkStart w:id="200" w:name="_Toc98580279"/>
      <w:bookmarkStart w:id="201" w:name="_Toc101771360"/>
      <w:bookmarkStart w:id="202" w:name="_Toc98579596"/>
      <w:bookmarkStart w:id="203" w:name="_Toc134956120"/>
      <w:bookmarkStart w:id="204" w:name="_Toc50276143"/>
      <w:bookmarkStart w:id="205" w:name="_Toc42313157"/>
      <w:bookmarkStart w:id="206" w:name="_Toc42394659"/>
      <w:bookmarkStart w:id="207" w:name="_Toc98579055"/>
      <w:r>
        <w:rPr>
          <w:rFonts w:hint="eastAsia" w:hAnsi="宋体" w:cs="宋体"/>
          <w:b/>
          <w:szCs w:val="21"/>
          <w:highlight w:val="none"/>
          <w:lang w:val="en-US" w:eastAsia="zh-CN"/>
        </w:rPr>
        <w:t>投标</w:t>
      </w:r>
      <w:r>
        <w:rPr>
          <w:rFonts w:hint="eastAsia" w:hAnsi="宋体" w:cs="宋体"/>
          <w:b/>
          <w:szCs w:val="21"/>
          <w:highlight w:val="none"/>
        </w:rPr>
        <w:t>的费用</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pPr>
        <w:pStyle w:val="5"/>
        <w:numPr>
          <w:ilvl w:val="2"/>
          <w:numId w:val="2"/>
        </w:numPr>
        <w:tabs>
          <w:tab w:val="clear" w:pos="851"/>
        </w:tabs>
        <w:ind w:left="0" w:firstLine="540"/>
        <w:jc w:val="left"/>
        <w:rPr>
          <w:rFonts w:hAnsi="宋体" w:cs="宋体"/>
          <w:szCs w:val="21"/>
          <w:highlight w:val="none"/>
        </w:rPr>
      </w:pPr>
      <w:bookmarkStart w:id="208" w:name="_Toc469512581"/>
      <w:bookmarkStart w:id="209" w:name="_Toc28064"/>
      <w:bookmarkStart w:id="210" w:name="_Toc13933"/>
      <w:bookmarkStart w:id="211" w:name="_Toc23603"/>
      <w:bookmarkStart w:id="212" w:name="_Toc519164443"/>
      <w:bookmarkStart w:id="213" w:name="_Toc497225619"/>
      <w:bookmarkStart w:id="214" w:name="_Toc532567122"/>
      <w:bookmarkStart w:id="215" w:name="_Toc526765929"/>
      <w:bookmarkStart w:id="216" w:name="_Toc497687506"/>
      <w:bookmarkStart w:id="217" w:name="_Toc7694"/>
      <w:bookmarkStart w:id="218" w:name="_Toc25895"/>
      <w:bookmarkStart w:id="219" w:name="_Toc519164297"/>
      <w:bookmarkStart w:id="220" w:name="_Toc20920"/>
      <w:bookmarkStart w:id="221" w:name="_Toc469512807"/>
      <w:bookmarkStart w:id="222" w:name="_Toc502737220"/>
      <w:bookmarkStart w:id="223" w:name="_Toc27870"/>
      <w:r>
        <w:rPr>
          <w:rFonts w:hint="eastAsia" w:hAnsi="宋体" w:cs="宋体"/>
          <w:szCs w:val="21"/>
          <w:highlight w:val="none"/>
        </w:rPr>
        <w:t>不论</w:t>
      </w:r>
      <w:r>
        <w:rPr>
          <w:rFonts w:hint="eastAsia" w:hAnsi="宋体" w:cs="宋体"/>
          <w:szCs w:val="21"/>
          <w:highlight w:val="none"/>
          <w:lang w:val="en-US" w:eastAsia="zh-CN"/>
        </w:rPr>
        <w:t>投标</w:t>
      </w:r>
      <w:r>
        <w:rPr>
          <w:rFonts w:hint="eastAsia" w:hAnsi="宋体" w:cs="宋体"/>
          <w:szCs w:val="21"/>
          <w:highlight w:val="none"/>
        </w:rPr>
        <w:t>的结果如何，供应商应承担所有与编写和提交响应文件有关的费用。</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pPr>
        <w:pStyle w:val="5"/>
        <w:numPr>
          <w:ilvl w:val="2"/>
          <w:numId w:val="2"/>
        </w:numPr>
        <w:tabs>
          <w:tab w:val="clear" w:pos="851"/>
        </w:tabs>
        <w:ind w:left="0" w:firstLine="540"/>
        <w:jc w:val="left"/>
        <w:rPr>
          <w:rFonts w:hAnsi="宋体" w:cs="宋体"/>
          <w:szCs w:val="21"/>
          <w:highlight w:val="none"/>
        </w:rPr>
      </w:pPr>
      <w:bookmarkStart w:id="224" w:name="_Toc526765930"/>
      <w:bookmarkStart w:id="225" w:name="_Toc532567123"/>
      <w:bookmarkStart w:id="226" w:name="_Toc519164298"/>
      <w:bookmarkStart w:id="227" w:name="_Toc17197"/>
      <w:bookmarkStart w:id="228" w:name="_Toc9867"/>
      <w:bookmarkStart w:id="229" w:name="_Toc519164444"/>
      <w:bookmarkStart w:id="230" w:name="_Toc3507"/>
      <w:bookmarkStart w:id="231" w:name="_Toc11764"/>
      <w:bookmarkStart w:id="232" w:name="_Toc27923"/>
      <w:bookmarkStart w:id="233" w:name="_Toc9022"/>
      <w:bookmarkStart w:id="234" w:name="_Toc20112"/>
      <w:r>
        <w:rPr>
          <w:rFonts w:hint="eastAsia" w:hAnsi="宋体" w:cs="宋体"/>
          <w:szCs w:val="21"/>
          <w:highlight w:val="none"/>
        </w:rPr>
        <w:t>采购代理机构向每位成交供应</w:t>
      </w:r>
      <w:r>
        <w:rPr>
          <w:rFonts w:hint="eastAsia" w:hAnsi="宋体" w:cs="宋体"/>
          <w:color w:val="auto"/>
          <w:szCs w:val="21"/>
          <w:highlight w:val="none"/>
        </w:rPr>
        <w:t>商收取成交服务费：</w:t>
      </w:r>
      <w:bookmarkEnd w:id="224"/>
      <w:bookmarkEnd w:id="225"/>
      <w:bookmarkEnd w:id="226"/>
      <w:bookmarkEnd w:id="227"/>
      <w:bookmarkEnd w:id="228"/>
      <w:bookmarkEnd w:id="229"/>
      <w:bookmarkEnd w:id="230"/>
      <w:r>
        <w:rPr>
          <w:rFonts w:hint="eastAsia" w:hAnsi="宋体" w:cs="宋体"/>
          <w:b/>
          <w:color w:val="auto"/>
          <w:szCs w:val="21"/>
          <w:highlight w:val="none"/>
        </w:rPr>
        <w:t>人民币5,000.00元。</w:t>
      </w:r>
      <w:bookmarkEnd w:id="231"/>
      <w:bookmarkEnd w:id="232"/>
      <w:bookmarkEnd w:id="233"/>
      <w:bookmarkEnd w:id="234"/>
    </w:p>
    <w:p>
      <w:pPr>
        <w:pStyle w:val="5"/>
        <w:tabs>
          <w:tab w:val="clear" w:pos="851"/>
        </w:tabs>
        <w:jc w:val="left"/>
        <w:rPr>
          <w:rFonts w:hAnsi="宋体" w:cs="宋体"/>
          <w:b/>
          <w:szCs w:val="21"/>
          <w:highlight w:val="none"/>
        </w:rPr>
      </w:pPr>
      <w:bookmarkStart w:id="235" w:name="_Toc497687508"/>
      <w:bookmarkStart w:id="236" w:name="_Toc526765931"/>
      <w:bookmarkStart w:id="237" w:name="_Toc469512809"/>
      <w:bookmarkStart w:id="238" w:name="_Toc469512583"/>
      <w:bookmarkStart w:id="239" w:name="_Toc519164445"/>
      <w:bookmarkStart w:id="240" w:name="_Toc532567124"/>
      <w:bookmarkStart w:id="241" w:name="_Toc497225621"/>
      <w:bookmarkStart w:id="242" w:name="_Toc519164299"/>
      <w:bookmarkStart w:id="243" w:name="_Toc502737222"/>
    </w:p>
    <w:p>
      <w:pPr>
        <w:pStyle w:val="3"/>
        <w:numPr>
          <w:ilvl w:val="0"/>
          <w:numId w:val="2"/>
        </w:numPr>
        <w:ind w:left="567" w:hanging="27"/>
        <w:jc w:val="left"/>
        <w:rPr>
          <w:rFonts w:hAnsi="宋体" w:cs="宋体"/>
          <w:b/>
          <w:sz w:val="21"/>
          <w:szCs w:val="21"/>
          <w:highlight w:val="none"/>
        </w:rPr>
      </w:pPr>
      <w:bookmarkStart w:id="244" w:name="_Toc1684"/>
      <w:bookmarkStart w:id="245" w:name="_Toc15773"/>
      <w:bookmarkStart w:id="246" w:name="_Toc26537"/>
      <w:bookmarkStart w:id="247" w:name="_Toc5282"/>
      <w:bookmarkStart w:id="248" w:name="_Toc11455"/>
      <w:bookmarkStart w:id="249" w:name="_Toc25098"/>
      <w:bookmarkStart w:id="250" w:name="_Toc6965"/>
      <w:bookmarkStart w:id="251" w:name="_Toc1689"/>
      <w:r>
        <w:rPr>
          <w:rFonts w:hint="eastAsia" w:hAnsi="宋体" w:cs="宋体"/>
          <w:b/>
          <w:sz w:val="21"/>
          <w:szCs w:val="21"/>
          <w:highlight w:val="none"/>
        </w:rPr>
        <w:t>竞争性磋商文件</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pPr>
        <w:pStyle w:val="5"/>
        <w:numPr>
          <w:ilvl w:val="1"/>
          <w:numId w:val="2"/>
        </w:numPr>
        <w:tabs>
          <w:tab w:val="clear" w:pos="851"/>
        </w:tabs>
        <w:ind w:left="1134" w:hanging="709"/>
        <w:rPr>
          <w:rFonts w:hAnsi="宋体" w:cs="宋体"/>
          <w:b/>
          <w:szCs w:val="21"/>
          <w:highlight w:val="none"/>
        </w:rPr>
      </w:pPr>
      <w:bookmarkStart w:id="252" w:name="_Toc497687509"/>
      <w:bookmarkStart w:id="253" w:name="_Toc14158"/>
      <w:bookmarkStart w:id="254" w:name="_Toc519164300"/>
      <w:bookmarkStart w:id="255" w:name="_Toc2540"/>
      <w:bookmarkStart w:id="256" w:name="_Toc469512584"/>
      <w:bookmarkStart w:id="257" w:name="_Toc526765932"/>
      <w:bookmarkStart w:id="258" w:name="_Toc519164446"/>
      <w:bookmarkStart w:id="259" w:name="_Toc502737223"/>
      <w:bookmarkStart w:id="260" w:name="_Toc14071"/>
      <w:bookmarkStart w:id="261" w:name="_Toc11003"/>
      <w:bookmarkStart w:id="262" w:name="_Toc532567125"/>
      <w:bookmarkStart w:id="263" w:name="_Toc497225622"/>
      <w:bookmarkStart w:id="264" w:name="_Toc1919"/>
      <w:bookmarkStart w:id="265" w:name="_Toc3163"/>
      <w:bookmarkStart w:id="266" w:name="_Toc469512810"/>
      <w:bookmarkStart w:id="267" w:name="_Toc26196"/>
      <w:r>
        <w:rPr>
          <w:rFonts w:hint="eastAsia" w:hAnsi="宋体" w:cs="宋体"/>
          <w:szCs w:val="21"/>
          <w:highlight w:val="none"/>
        </w:rPr>
        <w:t>竞争性磋商文件的构成</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pPr>
        <w:pStyle w:val="5"/>
        <w:numPr>
          <w:ilvl w:val="2"/>
          <w:numId w:val="2"/>
        </w:numPr>
        <w:tabs>
          <w:tab w:val="clear" w:pos="851"/>
        </w:tabs>
        <w:ind w:left="0" w:firstLine="540"/>
        <w:rPr>
          <w:rFonts w:hAnsi="宋体" w:cs="宋体"/>
          <w:szCs w:val="21"/>
          <w:highlight w:val="none"/>
        </w:rPr>
      </w:pPr>
      <w:bookmarkStart w:id="268" w:name="_Toc17824"/>
      <w:bookmarkStart w:id="269" w:name="_Toc526765933"/>
      <w:bookmarkStart w:id="270" w:name="_Toc502737224"/>
      <w:bookmarkStart w:id="271" w:name="_Toc10329"/>
      <w:bookmarkStart w:id="272" w:name="_Toc519164301"/>
      <w:bookmarkStart w:id="273" w:name="_Toc19143"/>
      <w:bookmarkStart w:id="274" w:name="_Toc519164447"/>
      <w:bookmarkStart w:id="275" w:name="_Toc21147"/>
      <w:bookmarkStart w:id="276" w:name="_Toc29973"/>
      <w:bookmarkStart w:id="277" w:name="_Toc469512811"/>
      <w:bookmarkStart w:id="278" w:name="_Toc497687510"/>
      <w:bookmarkStart w:id="279" w:name="_Toc469512585"/>
      <w:bookmarkStart w:id="280" w:name="_Toc497225623"/>
      <w:bookmarkStart w:id="281" w:name="_Toc532567126"/>
      <w:bookmarkStart w:id="282" w:name="_Toc12340"/>
      <w:bookmarkStart w:id="283" w:name="_Toc4625"/>
      <w:r>
        <w:rPr>
          <w:rFonts w:hint="eastAsia" w:hAnsi="宋体" w:cs="宋体"/>
          <w:szCs w:val="21"/>
          <w:highlight w:val="none"/>
        </w:rPr>
        <w:t>竞争性磋商文件由下列文件以及在采购过程中发出的澄清更正文件组成：</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pPr>
        <w:pStyle w:val="5"/>
        <w:tabs>
          <w:tab w:val="clear" w:pos="851"/>
        </w:tabs>
        <w:ind w:firstLine="525" w:firstLineChars="250"/>
        <w:rPr>
          <w:rFonts w:hAnsi="宋体" w:cs="宋体"/>
          <w:szCs w:val="21"/>
          <w:highlight w:val="none"/>
        </w:rPr>
      </w:pPr>
      <w:bookmarkStart w:id="284" w:name="_Toc32305"/>
      <w:bookmarkStart w:id="285" w:name="_Toc9863"/>
      <w:bookmarkStart w:id="286" w:name="_Toc25578"/>
      <w:bookmarkStart w:id="287" w:name="_Toc519164302"/>
      <w:bookmarkStart w:id="288" w:name="_Toc502737225"/>
      <w:bookmarkStart w:id="289" w:name="_Toc526765934"/>
      <w:bookmarkStart w:id="290" w:name="_Toc546"/>
      <w:bookmarkStart w:id="291" w:name="_Toc497225624"/>
      <w:bookmarkStart w:id="292" w:name="_Toc17548"/>
      <w:bookmarkStart w:id="293" w:name="_Toc469512812"/>
      <w:bookmarkStart w:id="294" w:name="_Toc469512586"/>
      <w:bookmarkStart w:id="295" w:name="_Toc30396"/>
      <w:bookmarkStart w:id="296" w:name="_Toc519164448"/>
      <w:bookmarkStart w:id="297" w:name="_Toc497687511"/>
      <w:bookmarkStart w:id="298" w:name="_Toc532567127"/>
      <w:bookmarkStart w:id="299" w:name="_Toc18111"/>
      <w:r>
        <w:rPr>
          <w:rFonts w:hint="eastAsia" w:hAnsi="宋体" w:cs="宋体"/>
          <w:szCs w:val="21"/>
          <w:highlight w:val="none"/>
        </w:rPr>
        <w:t>1）</w:t>
      </w:r>
      <w:r>
        <w:rPr>
          <w:rFonts w:hint="eastAsia" w:hAnsi="宋体" w:cs="宋体"/>
          <w:szCs w:val="21"/>
          <w:highlight w:val="none"/>
          <w:lang w:val="en-US" w:eastAsia="zh-CN"/>
        </w:rPr>
        <w:t>投标</w:t>
      </w:r>
      <w:r>
        <w:rPr>
          <w:rFonts w:hint="eastAsia" w:hAnsi="宋体" w:cs="宋体"/>
          <w:szCs w:val="21"/>
          <w:highlight w:val="none"/>
        </w:rPr>
        <w:t>邀请函</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pPr>
        <w:pStyle w:val="5"/>
        <w:tabs>
          <w:tab w:val="clear" w:pos="851"/>
        </w:tabs>
        <w:ind w:firstLine="525" w:firstLineChars="250"/>
        <w:rPr>
          <w:rFonts w:hAnsi="宋体" w:cs="宋体"/>
          <w:szCs w:val="21"/>
          <w:highlight w:val="none"/>
        </w:rPr>
      </w:pPr>
      <w:bookmarkStart w:id="300" w:name="_Toc13756"/>
      <w:bookmarkStart w:id="301" w:name="_Toc519164449"/>
      <w:bookmarkStart w:id="302" w:name="_Toc519164303"/>
      <w:bookmarkStart w:id="303" w:name="_Toc469512813"/>
      <w:bookmarkStart w:id="304" w:name="_Toc497225625"/>
      <w:bookmarkStart w:id="305" w:name="_Toc1484"/>
      <w:bookmarkStart w:id="306" w:name="_Toc497687512"/>
      <w:bookmarkStart w:id="307" w:name="_Toc9758"/>
      <w:bookmarkStart w:id="308" w:name="_Toc14273"/>
      <w:bookmarkStart w:id="309" w:name="_Toc22552"/>
      <w:bookmarkStart w:id="310" w:name="_Toc469512587"/>
      <w:bookmarkStart w:id="311" w:name="_Toc20214"/>
      <w:bookmarkStart w:id="312" w:name="_Toc502737226"/>
      <w:bookmarkStart w:id="313" w:name="_Toc526765935"/>
      <w:bookmarkStart w:id="314" w:name="_Toc532567128"/>
      <w:bookmarkStart w:id="315" w:name="_Toc30454"/>
      <w:r>
        <w:rPr>
          <w:rFonts w:hint="eastAsia" w:hAnsi="宋体" w:cs="宋体"/>
          <w:szCs w:val="21"/>
          <w:highlight w:val="none"/>
        </w:rPr>
        <w:t>2）供应商须知</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pPr>
        <w:pStyle w:val="5"/>
        <w:tabs>
          <w:tab w:val="clear" w:pos="851"/>
        </w:tabs>
        <w:ind w:firstLine="525" w:firstLineChars="250"/>
        <w:rPr>
          <w:rFonts w:hAnsi="宋体" w:cs="宋体"/>
          <w:szCs w:val="21"/>
          <w:highlight w:val="none"/>
        </w:rPr>
      </w:pPr>
      <w:bookmarkStart w:id="316" w:name="_Toc519164450"/>
      <w:bookmarkStart w:id="317" w:name="_Toc11023"/>
      <w:bookmarkStart w:id="318" w:name="_Toc29211"/>
      <w:bookmarkStart w:id="319" w:name="_Toc532567129"/>
      <w:bookmarkStart w:id="320" w:name="_Toc469512814"/>
      <w:bookmarkStart w:id="321" w:name="_Toc30510"/>
      <w:bookmarkStart w:id="322" w:name="_Toc502737227"/>
      <w:bookmarkStart w:id="323" w:name="_Toc526765936"/>
      <w:bookmarkStart w:id="324" w:name="_Toc10027"/>
      <w:bookmarkStart w:id="325" w:name="_Toc469512588"/>
      <w:bookmarkStart w:id="326" w:name="_Toc19386"/>
      <w:bookmarkStart w:id="327" w:name="_Toc497225626"/>
      <w:bookmarkStart w:id="328" w:name="_Toc497687513"/>
      <w:bookmarkStart w:id="329" w:name="_Toc519164304"/>
      <w:bookmarkStart w:id="330" w:name="_Toc22017"/>
      <w:bookmarkStart w:id="331" w:name="_Toc22971"/>
      <w:r>
        <w:rPr>
          <w:rFonts w:hint="eastAsia" w:hAnsi="宋体" w:cs="宋体"/>
          <w:szCs w:val="21"/>
          <w:highlight w:val="none"/>
        </w:rPr>
        <w:t>3）</w:t>
      </w:r>
      <w:r>
        <w:rPr>
          <w:rFonts w:hint="eastAsia" w:hAnsi="宋体" w:cs="宋体"/>
          <w:szCs w:val="21"/>
          <w:highlight w:val="none"/>
          <w:lang w:val="en-US" w:eastAsia="zh-CN"/>
        </w:rPr>
        <w:t>用户</w:t>
      </w:r>
      <w:r>
        <w:rPr>
          <w:rFonts w:hint="eastAsia" w:hAnsi="宋体" w:cs="宋体"/>
          <w:szCs w:val="21"/>
          <w:highlight w:val="none"/>
        </w:rPr>
        <w:t>需求书</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pPr>
        <w:pStyle w:val="5"/>
        <w:tabs>
          <w:tab w:val="clear" w:pos="851"/>
        </w:tabs>
        <w:ind w:firstLine="525" w:firstLineChars="250"/>
        <w:rPr>
          <w:rFonts w:hAnsi="宋体" w:cs="宋体"/>
          <w:szCs w:val="21"/>
          <w:highlight w:val="none"/>
        </w:rPr>
      </w:pPr>
      <w:bookmarkStart w:id="332" w:name="_Toc497687514"/>
      <w:bookmarkStart w:id="333" w:name="_Toc4858"/>
      <w:bookmarkStart w:id="334" w:name="_Toc526765937"/>
      <w:bookmarkStart w:id="335" w:name="_Toc519164451"/>
      <w:bookmarkStart w:id="336" w:name="_Toc11796"/>
      <w:bookmarkStart w:id="337" w:name="_Toc11189"/>
      <w:bookmarkStart w:id="338" w:name="_Toc502737228"/>
      <w:bookmarkStart w:id="339" w:name="_Toc12888"/>
      <w:bookmarkStart w:id="340" w:name="_Toc469512589"/>
      <w:bookmarkStart w:id="341" w:name="_Toc469512815"/>
      <w:bookmarkStart w:id="342" w:name="_Toc24471"/>
      <w:bookmarkStart w:id="343" w:name="_Toc12412"/>
      <w:bookmarkStart w:id="344" w:name="_Toc519164305"/>
      <w:bookmarkStart w:id="345" w:name="_Toc532567130"/>
      <w:bookmarkStart w:id="346" w:name="_Toc497225627"/>
      <w:bookmarkStart w:id="347" w:name="_Toc31901"/>
      <w:r>
        <w:rPr>
          <w:rFonts w:hint="eastAsia" w:hAnsi="宋体" w:cs="宋体"/>
          <w:szCs w:val="21"/>
          <w:highlight w:val="none"/>
        </w:rPr>
        <w:t>4）合同格式</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pPr>
        <w:pStyle w:val="5"/>
        <w:tabs>
          <w:tab w:val="clear" w:pos="851"/>
        </w:tabs>
        <w:ind w:firstLine="525" w:firstLineChars="250"/>
        <w:rPr>
          <w:rFonts w:hAnsi="宋体" w:cs="宋体"/>
          <w:szCs w:val="21"/>
          <w:highlight w:val="none"/>
        </w:rPr>
      </w:pPr>
      <w:bookmarkStart w:id="348" w:name="_Toc469512816"/>
      <w:bookmarkStart w:id="349" w:name="_Toc24579"/>
      <w:bookmarkStart w:id="350" w:name="_Toc502737229"/>
      <w:bookmarkStart w:id="351" w:name="_Toc526765938"/>
      <w:bookmarkStart w:id="352" w:name="_Toc10266"/>
      <w:bookmarkStart w:id="353" w:name="_Toc7072"/>
      <w:bookmarkStart w:id="354" w:name="_Toc497225628"/>
      <w:bookmarkStart w:id="355" w:name="_Toc469512590"/>
      <w:bookmarkStart w:id="356" w:name="_Toc497687515"/>
      <w:bookmarkStart w:id="357" w:name="_Toc2892"/>
      <w:bookmarkStart w:id="358" w:name="_Toc519164306"/>
      <w:bookmarkStart w:id="359" w:name="_Toc30033"/>
      <w:bookmarkStart w:id="360" w:name="_Toc532567131"/>
      <w:bookmarkStart w:id="361" w:name="_Toc14086"/>
      <w:bookmarkStart w:id="362" w:name="_Toc519164452"/>
      <w:bookmarkStart w:id="363" w:name="_Toc535"/>
      <w:r>
        <w:rPr>
          <w:rFonts w:hint="eastAsia" w:hAnsi="宋体" w:cs="宋体"/>
          <w:szCs w:val="21"/>
          <w:highlight w:val="none"/>
        </w:rPr>
        <w:t>5）评审办法及程序</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pPr>
        <w:pStyle w:val="5"/>
        <w:tabs>
          <w:tab w:val="clear" w:pos="851"/>
        </w:tabs>
        <w:ind w:firstLine="525" w:firstLineChars="250"/>
        <w:rPr>
          <w:rFonts w:hAnsi="宋体" w:cs="宋体"/>
          <w:szCs w:val="21"/>
          <w:highlight w:val="none"/>
        </w:rPr>
      </w:pPr>
      <w:bookmarkStart w:id="364" w:name="_Toc526765939"/>
      <w:bookmarkStart w:id="365" w:name="_Toc519164453"/>
      <w:bookmarkStart w:id="366" w:name="_Toc18147"/>
      <w:bookmarkStart w:id="367" w:name="_Toc29748"/>
      <w:bookmarkStart w:id="368" w:name="_Toc469512591"/>
      <w:bookmarkStart w:id="369" w:name="_Toc502737230"/>
      <w:bookmarkStart w:id="370" w:name="_Toc7778"/>
      <w:bookmarkStart w:id="371" w:name="_Toc511"/>
      <w:bookmarkStart w:id="372" w:name="_Toc22534"/>
      <w:bookmarkStart w:id="373" w:name="_Toc27803"/>
      <w:bookmarkStart w:id="374" w:name="_Toc497687516"/>
      <w:bookmarkStart w:id="375" w:name="_Toc469512817"/>
      <w:bookmarkStart w:id="376" w:name="_Toc519164307"/>
      <w:bookmarkStart w:id="377" w:name="_Toc532567132"/>
      <w:bookmarkStart w:id="378" w:name="_Toc497225629"/>
      <w:bookmarkStart w:id="379" w:name="_Toc30777"/>
      <w:r>
        <w:rPr>
          <w:rFonts w:hint="eastAsia" w:hAnsi="宋体" w:cs="宋体"/>
          <w:szCs w:val="21"/>
          <w:highlight w:val="none"/>
        </w:rPr>
        <w:t>6）响应文件格式</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pPr>
        <w:pStyle w:val="5"/>
        <w:tabs>
          <w:tab w:val="clear" w:pos="851"/>
        </w:tabs>
        <w:ind w:firstLine="525" w:firstLineChars="250"/>
        <w:rPr>
          <w:rFonts w:hAnsi="宋体" w:cs="宋体"/>
          <w:szCs w:val="21"/>
          <w:highlight w:val="none"/>
        </w:rPr>
      </w:pPr>
      <w:bookmarkStart w:id="380" w:name="_Toc9736"/>
      <w:bookmarkStart w:id="381" w:name="_Toc21866"/>
      <w:bookmarkStart w:id="382" w:name="_Toc519164454"/>
      <w:bookmarkStart w:id="383" w:name="_Toc497225630"/>
      <w:bookmarkStart w:id="384" w:name="_Toc532567133"/>
      <w:bookmarkStart w:id="385" w:name="_Toc469512592"/>
      <w:bookmarkStart w:id="386" w:name="_Toc469512818"/>
      <w:bookmarkStart w:id="387" w:name="_Toc27426"/>
      <w:bookmarkStart w:id="388" w:name="_Toc20902"/>
      <w:bookmarkStart w:id="389" w:name="_Toc10610"/>
      <w:bookmarkStart w:id="390" w:name="_Toc526765940"/>
      <w:bookmarkStart w:id="391" w:name="_Toc519164308"/>
      <w:bookmarkStart w:id="392" w:name="_Toc1579"/>
      <w:bookmarkStart w:id="393" w:name="_Toc497687517"/>
      <w:bookmarkStart w:id="394" w:name="_Toc502737231"/>
      <w:bookmarkStart w:id="395" w:name="_Toc20302"/>
      <w:r>
        <w:rPr>
          <w:rFonts w:hint="eastAsia" w:hAnsi="宋体" w:cs="宋体"/>
          <w:szCs w:val="21"/>
          <w:highlight w:val="none"/>
        </w:rPr>
        <w:t>7）在采购过程中由采购代理机构发出的澄清更正文件等</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pPr>
        <w:pStyle w:val="5"/>
        <w:numPr>
          <w:ilvl w:val="1"/>
          <w:numId w:val="2"/>
        </w:numPr>
        <w:tabs>
          <w:tab w:val="clear" w:pos="851"/>
        </w:tabs>
        <w:ind w:left="1134" w:hanging="709"/>
        <w:rPr>
          <w:rFonts w:hAnsi="宋体" w:cs="宋体"/>
          <w:b/>
          <w:szCs w:val="21"/>
          <w:highlight w:val="none"/>
        </w:rPr>
      </w:pPr>
      <w:bookmarkStart w:id="396" w:name="_Toc1992"/>
      <w:bookmarkStart w:id="397" w:name="_Toc497687518"/>
      <w:bookmarkStart w:id="398" w:name="_Toc497225631"/>
      <w:bookmarkStart w:id="399" w:name="_Toc7806"/>
      <w:bookmarkStart w:id="400" w:name="_Toc532567134"/>
      <w:bookmarkStart w:id="401" w:name="_Toc519164309"/>
      <w:bookmarkStart w:id="402" w:name="_Toc15379"/>
      <w:bookmarkStart w:id="403" w:name="_Toc526765941"/>
      <w:bookmarkStart w:id="404" w:name="_Toc502737232"/>
      <w:bookmarkStart w:id="405" w:name="_Toc469512819"/>
      <w:bookmarkStart w:id="406" w:name="_Toc469512593"/>
      <w:bookmarkStart w:id="407" w:name="_Toc3441"/>
      <w:bookmarkStart w:id="408" w:name="_Toc519164455"/>
      <w:bookmarkStart w:id="409" w:name="_Toc26987"/>
      <w:bookmarkStart w:id="410" w:name="_Toc8212"/>
      <w:bookmarkStart w:id="411" w:name="_Toc30221"/>
      <w:r>
        <w:rPr>
          <w:rFonts w:hint="eastAsia" w:hAnsi="宋体" w:cs="宋体"/>
          <w:b/>
          <w:szCs w:val="21"/>
          <w:highlight w:val="none"/>
        </w:rPr>
        <w:t>竞争性磋商文件的澄清和修改</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pPr>
        <w:pStyle w:val="5"/>
        <w:numPr>
          <w:ilvl w:val="2"/>
          <w:numId w:val="2"/>
        </w:numPr>
        <w:tabs>
          <w:tab w:val="clear" w:pos="851"/>
        </w:tabs>
        <w:ind w:left="0" w:firstLine="540"/>
        <w:rPr>
          <w:rFonts w:hAnsi="宋体" w:cs="宋体"/>
          <w:szCs w:val="21"/>
          <w:highlight w:val="none"/>
        </w:rPr>
      </w:pPr>
      <w:bookmarkStart w:id="412" w:name="_Toc502737233"/>
      <w:bookmarkStart w:id="413" w:name="_Toc469512820"/>
      <w:bookmarkStart w:id="414" w:name="_Toc526765942"/>
      <w:bookmarkStart w:id="415" w:name="_Toc469512594"/>
      <w:bookmarkStart w:id="416" w:name="_Toc11758"/>
      <w:bookmarkStart w:id="417" w:name="_Toc497687519"/>
      <w:bookmarkStart w:id="418" w:name="_Toc497225632"/>
      <w:bookmarkStart w:id="419" w:name="_Toc11966"/>
      <w:bookmarkStart w:id="420" w:name="_Toc21597"/>
      <w:bookmarkStart w:id="421" w:name="_Toc532567135"/>
      <w:bookmarkStart w:id="422" w:name="_Toc1182"/>
      <w:bookmarkStart w:id="423" w:name="_Toc17343"/>
      <w:bookmarkStart w:id="424" w:name="_Toc519164456"/>
      <w:bookmarkStart w:id="425" w:name="_Toc519164310"/>
      <w:bookmarkStart w:id="426" w:name="_Toc4719"/>
      <w:bookmarkStart w:id="427" w:name="_Toc13448"/>
      <w:r>
        <w:rPr>
          <w:rFonts w:hint="eastAsia" w:hAnsi="宋体" w:cs="宋体"/>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报名及购买磋商文件的供应商；不足5日的，采购人、采购代理机构应当顺延提交首次响应文件截止时间。采购代理机构将拒绝没有对澄清修改文件予以书面确认的供应商的</w:t>
      </w:r>
      <w:r>
        <w:rPr>
          <w:rFonts w:hint="eastAsia" w:ascii="宋体" w:hAnsi="宋体" w:cs="宋体"/>
          <w:highlight w:val="none"/>
          <w:lang w:val="en-US" w:eastAsia="zh-CN"/>
        </w:rPr>
        <w:t>投标</w:t>
      </w:r>
      <w:r>
        <w:rPr>
          <w:rFonts w:hint="eastAsia" w:hAnsi="宋体" w:cs="宋体"/>
          <w:szCs w:val="21"/>
          <w:highlight w:val="none"/>
        </w:rPr>
        <w:t>。</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pPr>
        <w:pStyle w:val="5"/>
        <w:numPr>
          <w:ilvl w:val="2"/>
          <w:numId w:val="2"/>
        </w:numPr>
        <w:tabs>
          <w:tab w:val="clear" w:pos="851"/>
        </w:tabs>
        <w:ind w:left="0" w:firstLine="540"/>
        <w:rPr>
          <w:rFonts w:hAnsi="宋体" w:cs="宋体"/>
          <w:szCs w:val="21"/>
          <w:highlight w:val="none"/>
        </w:rPr>
      </w:pPr>
      <w:bookmarkStart w:id="428" w:name="_Toc519164457"/>
      <w:bookmarkStart w:id="429" w:name="_Toc502737234"/>
      <w:bookmarkStart w:id="430" w:name="_Toc497687520"/>
      <w:bookmarkStart w:id="431" w:name="_Toc19428"/>
      <w:bookmarkStart w:id="432" w:name="_Toc497225633"/>
      <w:bookmarkStart w:id="433" w:name="_Toc532567136"/>
      <w:bookmarkStart w:id="434" w:name="_Toc28119"/>
      <w:bookmarkStart w:id="435" w:name="_Toc469512821"/>
      <w:bookmarkStart w:id="436" w:name="_Toc3603"/>
      <w:bookmarkStart w:id="437" w:name="_Toc526765943"/>
      <w:bookmarkStart w:id="438" w:name="_Toc10369"/>
      <w:bookmarkStart w:id="439" w:name="_Toc469512595"/>
      <w:bookmarkStart w:id="440" w:name="_Toc519164311"/>
      <w:bookmarkStart w:id="441" w:name="_Toc26516"/>
      <w:bookmarkStart w:id="442" w:name="_Toc9484"/>
      <w:bookmarkStart w:id="443" w:name="_Toc31972"/>
      <w:r>
        <w:rPr>
          <w:rFonts w:hint="eastAsia" w:hAnsi="宋体" w:cs="宋体"/>
          <w:szCs w:val="21"/>
          <w:highlight w:val="none"/>
        </w:rPr>
        <w:t>根据采购的具体情况，采购代理机构可延长</w:t>
      </w:r>
      <w:r>
        <w:rPr>
          <w:rFonts w:hint="eastAsia" w:ascii="宋体" w:hAnsi="宋体" w:cs="宋体"/>
          <w:highlight w:val="none"/>
          <w:lang w:val="en-US" w:eastAsia="zh-CN"/>
        </w:rPr>
        <w:t>投标</w:t>
      </w:r>
      <w:r>
        <w:rPr>
          <w:rFonts w:hint="eastAsia" w:hAnsi="宋体" w:cs="宋体"/>
          <w:szCs w:val="21"/>
          <w:highlight w:val="none"/>
        </w:rPr>
        <w:t>截止时间和开标时间，但至少应当在规定的</w:t>
      </w:r>
      <w:r>
        <w:rPr>
          <w:rFonts w:hint="eastAsia" w:ascii="宋体" w:hAnsi="宋体" w:cs="宋体"/>
          <w:highlight w:val="none"/>
          <w:lang w:val="en-US" w:eastAsia="zh-CN"/>
        </w:rPr>
        <w:t>投标</w:t>
      </w:r>
      <w:r>
        <w:rPr>
          <w:rFonts w:hint="eastAsia" w:hAnsi="宋体" w:cs="宋体"/>
          <w:szCs w:val="21"/>
          <w:highlight w:val="none"/>
        </w:rPr>
        <w:t>截止时间三日前，将变更时间在相关媒体上发布公告，并通知所有报名及购买磋商文件的供应商。</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pPr>
        <w:pStyle w:val="5"/>
        <w:numPr>
          <w:ilvl w:val="2"/>
          <w:numId w:val="2"/>
        </w:numPr>
        <w:tabs>
          <w:tab w:val="clear" w:pos="851"/>
        </w:tabs>
        <w:ind w:left="0" w:firstLine="540"/>
        <w:rPr>
          <w:rFonts w:hAnsi="宋体" w:cs="宋体"/>
          <w:szCs w:val="21"/>
          <w:highlight w:val="none"/>
        </w:rPr>
      </w:pPr>
      <w:bookmarkStart w:id="444" w:name="_Toc497687521"/>
      <w:bookmarkStart w:id="445" w:name="_Toc9327"/>
      <w:bookmarkStart w:id="446" w:name="_Toc469512822"/>
      <w:bookmarkStart w:id="447" w:name="_Toc469512596"/>
      <w:bookmarkStart w:id="448" w:name="_Toc17416"/>
      <w:bookmarkStart w:id="449" w:name="_Toc519164312"/>
      <w:bookmarkStart w:id="450" w:name="_Toc14952"/>
      <w:bookmarkStart w:id="451" w:name="_Toc502737235"/>
      <w:bookmarkStart w:id="452" w:name="_Toc497225634"/>
      <w:bookmarkStart w:id="453" w:name="_Toc18664"/>
      <w:bookmarkStart w:id="454" w:name="_Toc519164458"/>
      <w:bookmarkStart w:id="455" w:name="_Toc532567137"/>
      <w:bookmarkStart w:id="456" w:name="_Toc526765944"/>
      <w:bookmarkStart w:id="457" w:name="_Toc2073"/>
      <w:bookmarkStart w:id="458" w:name="_Toc17252"/>
      <w:bookmarkStart w:id="459" w:name="_Toc1176"/>
      <w:r>
        <w:rPr>
          <w:rFonts w:hint="eastAsia" w:hAnsi="宋体" w:cs="宋体"/>
          <w:szCs w:val="21"/>
          <w:highlight w:val="none"/>
        </w:rPr>
        <w:t>供应商在规定的时间内未对磋商文件提出疑问、质疑或要求澄清的，将视其为无异议。对磋商文件中描述有歧义或前后不一致的地方，磋商小组有权进行评判，但对同一条款的评判应适用于每个供应商。</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pPr>
        <w:pStyle w:val="5"/>
        <w:numPr>
          <w:ilvl w:val="1"/>
          <w:numId w:val="2"/>
        </w:numPr>
        <w:tabs>
          <w:tab w:val="clear" w:pos="851"/>
        </w:tabs>
        <w:spacing w:before="240" w:beforeLines="100"/>
        <w:ind w:left="1134" w:hanging="709"/>
        <w:rPr>
          <w:rFonts w:hAnsi="宋体" w:cs="宋体"/>
          <w:b/>
          <w:szCs w:val="21"/>
          <w:highlight w:val="none"/>
        </w:rPr>
      </w:pPr>
      <w:bookmarkStart w:id="460" w:name="_Toc27159"/>
      <w:bookmarkStart w:id="461" w:name="_Toc6832"/>
      <w:bookmarkStart w:id="462" w:name="_Toc532567138"/>
      <w:bookmarkStart w:id="463" w:name="_Toc519164459"/>
      <w:bookmarkStart w:id="464" w:name="_Toc519164313"/>
      <w:bookmarkStart w:id="465" w:name="_Toc469512823"/>
      <w:bookmarkStart w:id="466" w:name="_Toc526765945"/>
      <w:bookmarkStart w:id="467" w:name="_Toc7121"/>
      <w:bookmarkStart w:id="468" w:name="_Toc20312"/>
      <w:bookmarkStart w:id="469" w:name="_Toc134956121"/>
      <w:bookmarkStart w:id="470" w:name="_Toc469512597"/>
      <w:bookmarkStart w:id="471" w:name="_Toc502737236"/>
      <w:bookmarkStart w:id="472" w:name="_Toc23935"/>
      <w:bookmarkStart w:id="473" w:name="_Toc497687522"/>
      <w:bookmarkStart w:id="474" w:name="_Toc497225635"/>
      <w:bookmarkStart w:id="475" w:name="_Toc31318"/>
      <w:bookmarkStart w:id="476" w:name="_Toc18067"/>
      <w:r>
        <w:rPr>
          <w:rFonts w:hint="eastAsia" w:hAnsi="宋体" w:cs="宋体"/>
          <w:b/>
          <w:szCs w:val="21"/>
          <w:highlight w:val="none"/>
        </w:rPr>
        <w:t>知识产权</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pPr>
        <w:pStyle w:val="5"/>
        <w:numPr>
          <w:ilvl w:val="2"/>
          <w:numId w:val="2"/>
        </w:numPr>
        <w:tabs>
          <w:tab w:val="clear" w:pos="851"/>
        </w:tabs>
        <w:ind w:left="0" w:firstLine="540"/>
        <w:rPr>
          <w:rFonts w:hAnsi="宋体" w:cs="宋体"/>
          <w:szCs w:val="21"/>
          <w:highlight w:val="none"/>
          <w:lang w:val="en-GB"/>
        </w:rPr>
      </w:pPr>
      <w:bookmarkStart w:id="477" w:name="_Toc532567139"/>
      <w:bookmarkStart w:id="478" w:name="_Toc2651"/>
      <w:bookmarkStart w:id="479" w:name="_Toc519164314"/>
      <w:bookmarkStart w:id="480" w:name="_Toc469512824"/>
      <w:bookmarkStart w:id="481" w:name="_Toc17342"/>
      <w:bookmarkStart w:id="482" w:name="_Toc6485"/>
      <w:bookmarkStart w:id="483" w:name="_Toc497225636"/>
      <w:bookmarkStart w:id="484" w:name="_Toc18620"/>
      <w:bookmarkStart w:id="485" w:name="_Toc469512598"/>
      <w:bookmarkStart w:id="486" w:name="_Toc502737237"/>
      <w:bookmarkStart w:id="487" w:name="_Toc497687523"/>
      <w:bookmarkStart w:id="488" w:name="_Toc15881"/>
      <w:bookmarkStart w:id="489" w:name="_Toc519164460"/>
      <w:bookmarkStart w:id="490" w:name="_Toc12389"/>
      <w:bookmarkStart w:id="491" w:name="_Toc526765946"/>
      <w:bookmarkStart w:id="492" w:name="_Toc17163"/>
      <w:r>
        <w:rPr>
          <w:rFonts w:hint="eastAsia" w:hAnsi="宋体" w:cs="宋体"/>
          <w:szCs w:val="21"/>
          <w:highlight w:val="none"/>
        </w:rPr>
        <w:t>供应商必须保证，采购人在中华人民共和国境内使用</w:t>
      </w:r>
      <w:r>
        <w:rPr>
          <w:rFonts w:hint="eastAsia" w:ascii="宋体" w:hAnsi="宋体" w:cs="宋体"/>
          <w:highlight w:val="none"/>
          <w:lang w:val="en-US" w:eastAsia="zh-CN"/>
        </w:rPr>
        <w:t>投标</w:t>
      </w:r>
      <w:r>
        <w:rPr>
          <w:rFonts w:hint="eastAsia" w:hAnsi="宋体" w:cs="宋体"/>
          <w:szCs w:val="21"/>
          <w:highlight w:val="none"/>
        </w:rPr>
        <w:t>货物、资料、技术、服务或其任何一部分时，享有不受限制的无偿使用权，如有第三方向采购人提出侵犯其专利权、商标权或其它知识产权的主张，该责任应由供应商承担。</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pPr>
        <w:pStyle w:val="5"/>
        <w:numPr>
          <w:ilvl w:val="2"/>
          <w:numId w:val="2"/>
        </w:numPr>
        <w:tabs>
          <w:tab w:val="clear" w:pos="851"/>
        </w:tabs>
        <w:ind w:left="0" w:firstLine="540"/>
        <w:rPr>
          <w:rFonts w:hAnsi="宋体" w:cs="宋体"/>
          <w:szCs w:val="21"/>
          <w:highlight w:val="none"/>
          <w:lang w:val="en-GB"/>
        </w:rPr>
      </w:pPr>
      <w:bookmarkStart w:id="493" w:name="_Toc12123"/>
      <w:bookmarkStart w:id="494" w:name="_Toc23581"/>
      <w:bookmarkStart w:id="495" w:name="_Toc497687524"/>
      <w:bookmarkStart w:id="496" w:name="_Toc526765947"/>
      <w:bookmarkStart w:id="497" w:name="_Toc469512825"/>
      <w:bookmarkStart w:id="498" w:name="_Toc29853"/>
      <w:bookmarkStart w:id="499" w:name="_Toc502737238"/>
      <w:bookmarkStart w:id="500" w:name="_Toc497225637"/>
      <w:bookmarkStart w:id="501" w:name="_Toc532567140"/>
      <w:bookmarkStart w:id="502" w:name="_Toc15657"/>
      <w:bookmarkStart w:id="503" w:name="_Toc9699"/>
      <w:bookmarkStart w:id="504" w:name="_Toc519164461"/>
      <w:bookmarkStart w:id="505" w:name="_Toc519164315"/>
      <w:bookmarkStart w:id="506" w:name="_Toc18784"/>
      <w:bookmarkStart w:id="507" w:name="_Toc469512599"/>
      <w:bookmarkStart w:id="508" w:name="_Toc23897"/>
      <w:r>
        <w:rPr>
          <w:rFonts w:hint="eastAsia" w:ascii="宋体" w:hAnsi="宋体" w:cs="宋体"/>
          <w:highlight w:val="none"/>
          <w:lang w:val="en-US" w:eastAsia="zh-CN"/>
        </w:rPr>
        <w:t>投标</w:t>
      </w:r>
      <w:r>
        <w:rPr>
          <w:rFonts w:hint="eastAsia" w:hAnsi="宋体" w:cs="宋体"/>
          <w:szCs w:val="21"/>
          <w:highlight w:val="none"/>
        </w:rPr>
        <w:t>应包含所有应向所有权人支付的专利权、商标权或其它知识产权的一切相关费用。</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pPr>
        <w:pStyle w:val="5"/>
        <w:numPr>
          <w:ilvl w:val="1"/>
          <w:numId w:val="2"/>
        </w:numPr>
        <w:tabs>
          <w:tab w:val="clear" w:pos="851"/>
        </w:tabs>
        <w:spacing w:before="240" w:beforeLines="100"/>
        <w:ind w:left="1134" w:hanging="709"/>
        <w:rPr>
          <w:rFonts w:hAnsi="宋体" w:cs="宋体"/>
          <w:b/>
          <w:bCs/>
          <w:szCs w:val="21"/>
          <w:highlight w:val="none"/>
        </w:rPr>
      </w:pPr>
      <w:bookmarkStart w:id="509" w:name="_Toc134956122"/>
      <w:bookmarkStart w:id="510" w:name="_Toc1958"/>
      <w:bookmarkStart w:id="511" w:name="_Toc101771361"/>
      <w:bookmarkStart w:id="512" w:name="_Toc12127"/>
      <w:bookmarkStart w:id="513" w:name="_Toc41884688"/>
      <w:bookmarkStart w:id="514" w:name="_Toc502737239"/>
      <w:bookmarkStart w:id="515" w:name="_Toc42313156"/>
      <w:bookmarkStart w:id="516" w:name="_Toc166"/>
      <w:bookmarkStart w:id="517" w:name="_Toc526765948"/>
      <w:bookmarkStart w:id="518" w:name="_Toc469512826"/>
      <w:bookmarkStart w:id="519" w:name="_Toc41723918"/>
      <w:bookmarkStart w:id="520" w:name="_Toc50276142"/>
      <w:bookmarkStart w:id="521" w:name="_Toc497225638"/>
      <w:bookmarkStart w:id="522" w:name="_Toc101951247"/>
      <w:bookmarkStart w:id="523" w:name="_Toc98580278"/>
      <w:bookmarkStart w:id="524" w:name="_Toc14303"/>
      <w:bookmarkStart w:id="525" w:name="_Toc98579595"/>
      <w:bookmarkStart w:id="526" w:name="_Toc497687525"/>
      <w:bookmarkStart w:id="527" w:name="_Toc98578996"/>
      <w:bookmarkStart w:id="528" w:name="_Toc519164462"/>
      <w:bookmarkStart w:id="529" w:name="_Toc23109"/>
      <w:bookmarkStart w:id="530" w:name="_Toc469512600"/>
      <w:bookmarkStart w:id="531" w:name="_Toc98579054"/>
      <w:bookmarkStart w:id="532" w:name="_Toc32680"/>
      <w:bookmarkStart w:id="533" w:name="_Toc42394501"/>
      <w:bookmarkStart w:id="534" w:name="_Toc101843114"/>
      <w:bookmarkStart w:id="535" w:name="_Toc101775114"/>
      <w:bookmarkStart w:id="536" w:name="_Toc519164316"/>
      <w:bookmarkStart w:id="537" w:name="_Toc532567141"/>
      <w:bookmarkStart w:id="538" w:name="_Toc42394658"/>
      <w:bookmarkStart w:id="539" w:name="_Toc6782"/>
      <w:r>
        <w:rPr>
          <w:rFonts w:hint="eastAsia" w:hAnsi="宋体" w:cs="宋体"/>
          <w:b/>
          <w:szCs w:val="21"/>
          <w:highlight w:val="none"/>
        </w:rPr>
        <w:t>纪律与保密事项</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pPr>
        <w:pStyle w:val="5"/>
        <w:numPr>
          <w:ilvl w:val="2"/>
          <w:numId w:val="2"/>
        </w:numPr>
        <w:tabs>
          <w:tab w:val="clear" w:pos="851"/>
        </w:tabs>
        <w:ind w:left="0" w:firstLine="540"/>
        <w:rPr>
          <w:rFonts w:hAnsi="宋体" w:cs="宋体"/>
          <w:szCs w:val="21"/>
          <w:highlight w:val="none"/>
        </w:rPr>
      </w:pPr>
      <w:bookmarkStart w:id="540" w:name="_Toc502737240"/>
      <w:bookmarkStart w:id="541" w:name="_Toc532567142"/>
      <w:bookmarkStart w:id="542" w:name="_Toc519164463"/>
      <w:bookmarkStart w:id="543" w:name="_Toc469512601"/>
      <w:bookmarkStart w:id="544" w:name="_Toc14418"/>
      <w:bookmarkStart w:id="545" w:name="_Toc519164317"/>
      <w:bookmarkStart w:id="546" w:name="_Toc497687526"/>
      <w:bookmarkStart w:id="547" w:name="_Toc526765949"/>
      <w:bookmarkStart w:id="548" w:name="_Toc28362"/>
      <w:bookmarkStart w:id="549" w:name="_Toc25741"/>
      <w:bookmarkStart w:id="550" w:name="_Toc16123"/>
      <w:bookmarkStart w:id="551" w:name="_Toc469512827"/>
      <w:bookmarkStart w:id="552" w:name="_Toc8250"/>
      <w:bookmarkStart w:id="553" w:name="_Toc14860"/>
      <w:bookmarkStart w:id="554" w:name="_Toc497225639"/>
      <w:bookmarkStart w:id="555" w:name="_Toc19789"/>
      <w:r>
        <w:rPr>
          <w:rFonts w:hint="eastAsia" w:hAnsi="宋体" w:cs="宋体"/>
          <w:szCs w:val="21"/>
          <w:highlight w:val="none"/>
        </w:rPr>
        <w:t>供应商不得相互串通</w:t>
      </w:r>
      <w:r>
        <w:rPr>
          <w:rFonts w:hint="eastAsia" w:hAnsi="宋体" w:cs="宋体"/>
          <w:szCs w:val="21"/>
          <w:highlight w:val="none"/>
          <w:lang w:val="en-US" w:eastAsia="zh-CN"/>
        </w:rPr>
        <w:t>投标</w:t>
      </w:r>
      <w:r>
        <w:rPr>
          <w:rFonts w:hint="eastAsia" w:hAnsi="宋体" w:cs="宋体"/>
          <w:szCs w:val="21"/>
          <w:highlight w:val="none"/>
        </w:rPr>
        <w:t>，不得妨碍其他供应商的公平竞争，不得损害采购人或其他供应商的合法权益，供应商不得以向采购人、磋商小组成员行贿或者采取其他不正当手段谋取中标。</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pPr>
        <w:pStyle w:val="5"/>
        <w:numPr>
          <w:ilvl w:val="2"/>
          <w:numId w:val="2"/>
        </w:numPr>
        <w:tabs>
          <w:tab w:val="clear" w:pos="851"/>
        </w:tabs>
        <w:ind w:left="0" w:firstLine="540"/>
        <w:rPr>
          <w:rFonts w:hAnsi="宋体" w:cs="宋体"/>
          <w:szCs w:val="21"/>
          <w:highlight w:val="none"/>
        </w:rPr>
      </w:pPr>
      <w:bookmarkStart w:id="556" w:name="_Toc497687527"/>
      <w:bookmarkStart w:id="557" w:name="_Toc31300"/>
      <w:bookmarkStart w:id="558" w:name="_Toc25363"/>
      <w:bookmarkStart w:id="559" w:name="_Toc9688"/>
      <w:bookmarkStart w:id="560" w:name="_Toc502737241"/>
      <w:bookmarkStart w:id="561" w:name="_Toc8131"/>
      <w:bookmarkStart w:id="562" w:name="_Toc469512602"/>
      <w:bookmarkStart w:id="563" w:name="_Toc469512828"/>
      <w:bookmarkStart w:id="564" w:name="_Toc17794"/>
      <w:bookmarkStart w:id="565" w:name="_Toc32765"/>
      <w:bookmarkStart w:id="566" w:name="_Toc526765950"/>
      <w:bookmarkStart w:id="567" w:name="_Toc532567143"/>
      <w:bookmarkStart w:id="568" w:name="_Toc497225640"/>
      <w:bookmarkStart w:id="569" w:name="_Toc519164318"/>
      <w:bookmarkStart w:id="570" w:name="_Toc519164464"/>
      <w:bookmarkStart w:id="571" w:name="_Toc2775"/>
      <w:r>
        <w:rPr>
          <w:rFonts w:hint="eastAsia" w:hAnsi="宋体" w:cs="宋体"/>
          <w:szCs w:val="21"/>
          <w:highlight w:val="none"/>
        </w:rPr>
        <w:t>接受磋商后，直至成交供应商与买方签订合同后止，凡与谈判、审查、澄清、评价、比较意见有关的内容，任何人均不得向供应商及与评审无关的其他人透露。</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pPr>
        <w:pStyle w:val="5"/>
        <w:numPr>
          <w:ilvl w:val="2"/>
          <w:numId w:val="2"/>
        </w:numPr>
        <w:tabs>
          <w:tab w:val="clear" w:pos="851"/>
        </w:tabs>
        <w:ind w:left="0" w:firstLine="540"/>
        <w:rPr>
          <w:rFonts w:hAnsi="宋体" w:cs="宋体"/>
          <w:szCs w:val="21"/>
          <w:highlight w:val="none"/>
        </w:rPr>
      </w:pPr>
      <w:bookmarkStart w:id="572" w:name="_Toc519164319"/>
      <w:bookmarkStart w:id="573" w:name="_Toc497225641"/>
      <w:bookmarkStart w:id="574" w:name="_Toc32462"/>
      <w:bookmarkStart w:id="575" w:name="_Toc31486"/>
      <w:bookmarkStart w:id="576" w:name="_Toc469512829"/>
      <w:bookmarkStart w:id="577" w:name="_Toc10701"/>
      <w:bookmarkStart w:id="578" w:name="_Toc497687528"/>
      <w:bookmarkStart w:id="579" w:name="_Toc469512603"/>
      <w:bookmarkStart w:id="580" w:name="_Toc2370"/>
      <w:bookmarkStart w:id="581" w:name="_Toc526765951"/>
      <w:bookmarkStart w:id="582" w:name="_Toc30038"/>
      <w:bookmarkStart w:id="583" w:name="_Toc502737242"/>
      <w:bookmarkStart w:id="584" w:name="_Toc519164465"/>
      <w:bookmarkStart w:id="585" w:name="_Toc532567144"/>
      <w:bookmarkStart w:id="586" w:name="_Toc13164"/>
      <w:bookmarkStart w:id="587" w:name="_Toc21058"/>
      <w:r>
        <w:rPr>
          <w:rFonts w:hint="eastAsia" w:hAnsi="宋体" w:cs="宋体"/>
          <w:szCs w:val="21"/>
          <w:highlight w:val="none"/>
        </w:rPr>
        <w:t>在确定成交供应商之前，供应商试图在响应文件审查、澄清、比较和评价时对磋商小组、采购人和采购代理机构施加任何影响都可能导致其响应无效。</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
      <w:pPr>
        <w:pStyle w:val="5"/>
        <w:numPr>
          <w:ilvl w:val="2"/>
          <w:numId w:val="2"/>
        </w:numPr>
        <w:tabs>
          <w:tab w:val="clear" w:pos="851"/>
        </w:tabs>
        <w:ind w:left="0" w:firstLine="540"/>
        <w:rPr>
          <w:rFonts w:hAnsi="宋体" w:cs="宋体"/>
          <w:szCs w:val="21"/>
          <w:highlight w:val="none"/>
        </w:rPr>
      </w:pPr>
      <w:bookmarkStart w:id="588" w:name="_Toc497225642"/>
      <w:bookmarkStart w:id="589" w:name="_Toc3028"/>
      <w:bookmarkStart w:id="590" w:name="_Toc526765952"/>
      <w:bookmarkStart w:id="591" w:name="_Toc497687529"/>
      <w:bookmarkStart w:id="592" w:name="_Toc10090"/>
      <w:bookmarkStart w:id="593" w:name="_Toc469512604"/>
      <w:bookmarkStart w:id="594" w:name="_Toc469512830"/>
      <w:bookmarkStart w:id="595" w:name="_Toc28045"/>
      <w:bookmarkStart w:id="596" w:name="_Toc532567145"/>
      <w:bookmarkStart w:id="597" w:name="_Toc2243"/>
      <w:bookmarkStart w:id="598" w:name="_Toc519164320"/>
      <w:bookmarkStart w:id="599" w:name="_Toc519164466"/>
      <w:bookmarkStart w:id="600" w:name="_Toc5802"/>
      <w:bookmarkStart w:id="601" w:name="_Toc31349"/>
      <w:bookmarkStart w:id="602" w:name="_Toc502737243"/>
      <w:bookmarkStart w:id="603" w:name="_Toc13847"/>
      <w:r>
        <w:rPr>
          <w:rFonts w:hint="eastAsia" w:hAnsi="宋体" w:cs="宋体"/>
          <w:szCs w:val="21"/>
          <w:highlight w:val="none"/>
        </w:rPr>
        <w:t>获得本磋商文件者，不得将磋商文件用作本次</w:t>
      </w:r>
      <w:r>
        <w:rPr>
          <w:rFonts w:hint="eastAsia" w:hAnsi="宋体" w:cs="宋体"/>
          <w:szCs w:val="21"/>
          <w:highlight w:val="none"/>
          <w:lang w:val="en-US" w:eastAsia="zh-CN"/>
        </w:rPr>
        <w:t>投标</w:t>
      </w:r>
      <w:r>
        <w:rPr>
          <w:rFonts w:hint="eastAsia" w:hAnsi="宋体" w:cs="宋体"/>
          <w:szCs w:val="21"/>
          <w:highlight w:val="none"/>
        </w:rPr>
        <w:t>以外的任何用途，若有要求，开标后，供应商应归还磋商文件中的保密文件和资料。</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pPr>
        <w:pStyle w:val="5"/>
        <w:numPr>
          <w:ilvl w:val="2"/>
          <w:numId w:val="2"/>
        </w:numPr>
        <w:tabs>
          <w:tab w:val="clear" w:pos="851"/>
        </w:tabs>
        <w:ind w:left="0" w:firstLine="540"/>
        <w:rPr>
          <w:rFonts w:hAnsi="宋体" w:cs="宋体"/>
          <w:szCs w:val="21"/>
          <w:highlight w:val="none"/>
        </w:rPr>
      </w:pPr>
      <w:bookmarkStart w:id="604" w:name="_Toc8270"/>
      <w:bookmarkStart w:id="605" w:name="_Toc532567146"/>
      <w:bookmarkStart w:id="606" w:name="_Toc497225643"/>
      <w:bookmarkStart w:id="607" w:name="_Toc469512605"/>
      <w:bookmarkStart w:id="608" w:name="_Toc16029"/>
      <w:bookmarkStart w:id="609" w:name="_Toc5080"/>
      <w:bookmarkStart w:id="610" w:name="_Toc519164321"/>
      <w:bookmarkStart w:id="611" w:name="_Toc497687530"/>
      <w:bookmarkStart w:id="612" w:name="_Toc502737244"/>
      <w:bookmarkStart w:id="613" w:name="_Toc17395"/>
      <w:bookmarkStart w:id="614" w:name="_Toc28156"/>
      <w:bookmarkStart w:id="615" w:name="_Toc25968"/>
      <w:bookmarkStart w:id="616" w:name="_Toc469512831"/>
      <w:bookmarkStart w:id="617" w:name="_Toc526765953"/>
      <w:bookmarkStart w:id="618" w:name="_Toc519164467"/>
      <w:bookmarkStart w:id="619" w:name="_Toc28104"/>
      <w:r>
        <w:rPr>
          <w:rFonts w:hint="eastAsia" w:hAnsi="宋体" w:cs="宋体"/>
          <w:szCs w:val="21"/>
          <w:highlight w:val="none"/>
        </w:rPr>
        <w:t>由采购人向供应商提供的图纸、详细资料、样品、模型、模件和所有其它资料，均为保密资料，仅被用于它所规定的用途。除非得到采购人的同意，不能向任何第三方透露。开标结束后，应采购人要求，供应商应归还所有从采购人处获得的保密资料。</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pPr>
        <w:pStyle w:val="5"/>
        <w:numPr>
          <w:ilvl w:val="1"/>
          <w:numId w:val="2"/>
        </w:numPr>
        <w:tabs>
          <w:tab w:val="clear" w:pos="851"/>
        </w:tabs>
        <w:spacing w:before="240" w:beforeLines="100"/>
        <w:ind w:left="1134" w:hanging="709"/>
        <w:rPr>
          <w:rFonts w:hAnsi="宋体" w:cs="宋体"/>
          <w:b/>
          <w:bCs/>
          <w:szCs w:val="21"/>
          <w:highlight w:val="none"/>
        </w:rPr>
      </w:pPr>
      <w:bookmarkStart w:id="620" w:name="_Toc27564"/>
      <w:bookmarkStart w:id="621" w:name="_Toc532567147"/>
      <w:bookmarkStart w:id="622" w:name="_Toc497687531"/>
      <w:bookmarkStart w:id="623" w:name="_Toc23459"/>
      <w:bookmarkStart w:id="624" w:name="_Toc23616"/>
      <w:bookmarkStart w:id="625" w:name="_Toc20809"/>
      <w:bookmarkStart w:id="626" w:name="_Toc502737245"/>
      <w:bookmarkStart w:id="627" w:name="_Toc526765954"/>
      <w:bookmarkStart w:id="628" w:name="_Toc469512832"/>
      <w:bookmarkStart w:id="629" w:name="_Toc12724"/>
      <w:bookmarkStart w:id="630" w:name="_Toc27366"/>
      <w:bookmarkStart w:id="631" w:name="_Toc469512606"/>
      <w:bookmarkStart w:id="632" w:name="_Toc519164468"/>
      <w:bookmarkStart w:id="633" w:name="_Toc519164322"/>
      <w:bookmarkStart w:id="634" w:name="_Toc497225644"/>
      <w:bookmarkStart w:id="635" w:name="_Toc10456"/>
      <w:bookmarkStart w:id="636" w:name="_Toc101843115"/>
      <w:bookmarkStart w:id="637" w:name="_Toc101775115"/>
      <w:bookmarkStart w:id="638" w:name="_Toc101951248"/>
      <w:bookmarkStart w:id="639" w:name="_Toc101771362"/>
      <w:r>
        <w:rPr>
          <w:rFonts w:hint="eastAsia" w:hAnsi="宋体" w:cs="宋体"/>
          <w:b/>
          <w:szCs w:val="21"/>
          <w:highlight w:val="none"/>
        </w:rPr>
        <w:t>关于关联企业</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pPr>
        <w:pStyle w:val="5"/>
        <w:tabs>
          <w:tab w:val="clear" w:pos="851"/>
        </w:tabs>
        <w:ind w:firstLine="420" w:firstLineChars="200"/>
        <w:rPr>
          <w:rFonts w:hAnsi="宋体" w:cs="宋体"/>
          <w:szCs w:val="21"/>
          <w:highlight w:val="none"/>
        </w:rPr>
      </w:pPr>
      <w:bookmarkStart w:id="640" w:name="_Toc29675"/>
      <w:bookmarkStart w:id="641" w:name="_Toc24979"/>
      <w:bookmarkStart w:id="642" w:name="_Toc497687532"/>
      <w:bookmarkStart w:id="643" w:name="_Toc469512607"/>
      <w:bookmarkStart w:id="644" w:name="_Toc519164469"/>
      <w:bookmarkStart w:id="645" w:name="_Toc532567148"/>
      <w:bookmarkStart w:id="646" w:name="_Toc1549"/>
      <w:bookmarkStart w:id="647" w:name="_Toc18101"/>
      <w:bookmarkStart w:id="648" w:name="_Toc497225645"/>
      <w:bookmarkStart w:id="649" w:name="_Toc502737246"/>
      <w:bookmarkStart w:id="650" w:name="_Toc25359"/>
      <w:bookmarkStart w:id="651" w:name="_Toc4336"/>
      <w:bookmarkStart w:id="652" w:name="_Toc526765955"/>
      <w:bookmarkStart w:id="653" w:name="_Toc469512833"/>
      <w:bookmarkStart w:id="654" w:name="_Toc519164323"/>
      <w:bookmarkStart w:id="655" w:name="_Toc28208"/>
      <w:bookmarkStart w:id="656" w:name="_Toc127930780"/>
      <w:bookmarkStart w:id="657" w:name="_Toc134955409"/>
      <w:r>
        <w:rPr>
          <w:rFonts w:hint="eastAsia" w:hAnsi="宋体" w:cs="宋体"/>
          <w:szCs w:val="22"/>
          <w:highlight w:val="none"/>
        </w:rPr>
        <w:t>单位负责人为同一人或者存在直接控股、管理关系的不同供应商，不得参加同一合同项下的政府采购活动</w:t>
      </w:r>
      <w:r>
        <w:rPr>
          <w:rFonts w:hint="eastAsia" w:hAnsi="宋体" w:cs="宋体"/>
          <w:szCs w:val="21"/>
          <w:highlight w:val="none"/>
        </w:rPr>
        <w:t>。如同时参加，则评审时将同时被拒绝。</w:t>
      </w:r>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p>
      <w:pPr>
        <w:pStyle w:val="4"/>
        <w:rPr>
          <w:rFonts w:ascii="宋体" w:hAnsi="宋体" w:cs="宋体"/>
          <w:szCs w:val="21"/>
          <w:highlight w:val="none"/>
        </w:rPr>
      </w:pPr>
    </w:p>
    <w:bookmarkEnd w:id="656"/>
    <w:bookmarkEnd w:id="657"/>
    <w:p>
      <w:pPr>
        <w:pStyle w:val="3"/>
        <w:numPr>
          <w:ilvl w:val="0"/>
          <w:numId w:val="2"/>
        </w:numPr>
        <w:ind w:left="567" w:hanging="27"/>
        <w:jc w:val="left"/>
        <w:rPr>
          <w:rFonts w:hAnsi="宋体" w:cs="宋体"/>
          <w:b/>
          <w:sz w:val="21"/>
          <w:szCs w:val="21"/>
          <w:highlight w:val="none"/>
        </w:rPr>
      </w:pPr>
      <w:bookmarkStart w:id="658" w:name="_Toc22371"/>
      <w:bookmarkStart w:id="659" w:name="_Toc519164470"/>
      <w:bookmarkStart w:id="660" w:name="_Toc4110"/>
      <w:bookmarkStart w:id="661" w:name="_Toc20294"/>
      <w:bookmarkStart w:id="662" w:name="_Toc4903"/>
      <w:bookmarkStart w:id="663" w:name="_Toc532567149"/>
      <w:bookmarkStart w:id="664" w:name="_Toc10373"/>
      <w:bookmarkStart w:id="665" w:name="_Toc519164324"/>
      <w:bookmarkStart w:id="666" w:name="_Toc526765956"/>
      <w:bookmarkStart w:id="667" w:name="_Toc19825"/>
      <w:bookmarkStart w:id="668" w:name="_Toc5542"/>
      <w:bookmarkStart w:id="669" w:name="_Toc9150"/>
      <w:r>
        <w:rPr>
          <w:rFonts w:hint="eastAsia" w:hAnsi="宋体" w:cs="宋体"/>
          <w:b/>
          <w:sz w:val="21"/>
          <w:szCs w:val="21"/>
          <w:highlight w:val="none"/>
        </w:rPr>
        <w:t>询问与异议</w:t>
      </w:r>
      <w:bookmarkEnd w:id="658"/>
      <w:bookmarkEnd w:id="659"/>
      <w:bookmarkEnd w:id="660"/>
      <w:bookmarkEnd w:id="661"/>
      <w:bookmarkEnd w:id="662"/>
      <w:bookmarkEnd w:id="663"/>
      <w:bookmarkEnd w:id="664"/>
      <w:bookmarkEnd w:id="665"/>
      <w:bookmarkEnd w:id="666"/>
      <w:bookmarkEnd w:id="667"/>
      <w:bookmarkEnd w:id="668"/>
      <w:bookmarkEnd w:id="669"/>
    </w:p>
    <w:bookmarkEnd w:id="636"/>
    <w:bookmarkEnd w:id="637"/>
    <w:bookmarkEnd w:id="638"/>
    <w:bookmarkEnd w:id="639"/>
    <w:p>
      <w:pPr>
        <w:pStyle w:val="5"/>
        <w:numPr>
          <w:ilvl w:val="1"/>
          <w:numId w:val="2"/>
        </w:numPr>
        <w:tabs>
          <w:tab w:val="clear" w:pos="851"/>
        </w:tabs>
        <w:ind w:left="0" w:firstLine="425"/>
        <w:rPr>
          <w:rFonts w:hAnsi="宋体" w:cs="宋体"/>
          <w:szCs w:val="21"/>
          <w:highlight w:val="none"/>
        </w:rPr>
      </w:pPr>
      <w:bookmarkStart w:id="670" w:name="_Toc17815"/>
      <w:bookmarkStart w:id="671" w:name="_Toc532567150"/>
      <w:bookmarkStart w:id="672" w:name="_Toc526765957"/>
      <w:bookmarkStart w:id="673" w:name="_Toc469512609"/>
      <w:bookmarkStart w:id="674" w:name="_Toc502737248"/>
      <w:bookmarkStart w:id="675" w:name="_Toc18774"/>
      <w:bookmarkStart w:id="676" w:name="_Toc30088"/>
      <w:bookmarkStart w:id="677" w:name="_Toc469512835"/>
      <w:bookmarkStart w:id="678" w:name="_Toc519164325"/>
      <w:bookmarkStart w:id="679" w:name="_Toc24782"/>
      <w:bookmarkStart w:id="680" w:name="_Toc519164471"/>
      <w:bookmarkStart w:id="681" w:name="_Toc497225647"/>
      <w:bookmarkStart w:id="682" w:name="_Toc497687534"/>
      <w:bookmarkStart w:id="683" w:name="_Toc23821"/>
      <w:bookmarkStart w:id="684" w:name="_Toc17181"/>
      <w:bookmarkStart w:id="685" w:name="_Toc30403"/>
      <w:bookmarkStart w:id="686" w:name="_Toc134955411"/>
      <w:r>
        <w:rPr>
          <w:rFonts w:hint="eastAsia" w:hAnsi="宋体" w:cs="宋体"/>
          <w:szCs w:val="21"/>
          <w:highlight w:val="none"/>
        </w:rPr>
        <w:t>询问</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p>
    <w:p>
      <w:pPr>
        <w:pStyle w:val="5"/>
        <w:numPr>
          <w:ilvl w:val="2"/>
          <w:numId w:val="2"/>
        </w:numPr>
        <w:tabs>
          <w:tab w:val="clear" w:pos="851"/>
        </w:tabs>
        <w:ind w:left="0" w:firstLine="540"/>
        <w:rPr>
          <w:rFonts w:hAnsi="宋体" w:cs="宋体"/>
          <w:szCs w:val="21"/>
          <w:highlight w:val="none"/>
        </w:rPr>
      </w:pPr>
      <w:bookmarkStart w:id="687" w:name="_Toc526765958"/>
      <w:bookmarkStart w:id="688" w:name="_Toc29998"/>
      <w:bookmarkStart w:id="689" w:name="_Toc23131"/>
      <w:bookmarkStart w:id="690" w:name="_Toc18526"/>
      <w:bookmarkStart w:id="691" w:name="_Toc532567151"/>
      <w:bookmarkStart w:id="692" w:name="_Toc26645"/>
      <w:bookmarkStart w:id="693" w:name="_Toc519164326"/>
      <w:bookmarkStart w:id="694" w:name="_Toc19819"/>
      <w:bookmarkStart w:id="695" w:name="_Toc519164472"/>
      <w:bookmarkStart w:id="696" w:name="_Toc23185"/>
      <w:bookmarkStart w:id="697" w:name="_Toc21853"/>
      <w:r>
        <w:rPr>
          <w:rFonts w:hint="eastAsia" w:hAnsi="宋体" w:cs="宋体"/>
          <w:szCs w:val="21"/>
          <w:highlight w:val="none"/>
        </w:rPr>
        <w:t>供应商对磋商文件、采购过程和成交结果有疑问的，可以向采购人或采购代理机构提出询问，采购人或采购代理机构将及时做出答复，但答复的内容不涉及商业秘密。书面方式询问包括但不限于电子邮件、信函。</w:t>
      </w:r>
      <w:bookmarkEnd w:id="687"/>
      <w:bookmarkEnd w:id="688"/>
      <w:bookmarkEnd w:id="689"/>
      <w:bookmarkEnd w:id="690"/>
      <w:bookmarkEnd w:id="691"/>
      <w:bookmarkEnd w:id="692"/>
      <w:bookmarkEnd w:id="693"/>
      <w:bookmarkEnd w:id="694"/>
      <w:bookmarkEnd w:id="695"/>
      <w:bookmarkEnd w:id="696"/>
      <w:bookmarkEnd w:id="697"/>
    </w:p>
    <w:p>
      <w:pPr>
        <w:pStyle w:val="5"/>
        <w:numPr>
          <w:ilvl w:val="2"/>
          <w:numId w:val="2"/>
        </w:numPr>
        <w:tabs>
          <w:tab w:val="clear" w:pos="851"/>
        </w:tabs>
        <w:ind w:left="0" w:firstLine="540"/>
        <w:rPr>
          <w:rFonts w:hAnsi="宋体" w:cs="宋体"/>
          <w:szCs w:val="21"/>
          <w:highlight w:val="none"/>
          <w:lang w:val="en-GB"/>
        </w:rPr>
      </w:pPr>
      <w:bookmarkStart w:id="698" w:name="_Toc22643"/>
      <w:bookmarkStart w:id="699" w:name="_Toc519164473"/>
      <w:bookmarkStart w:id="700" w:name="_Toc526765959"/>
      <w:bookmarkStart w:id="701" w:name="_Toc20695"/>
      <w:bookmarkStart w:id="702" w:name="_Toc26096"/>
      <w:bookmarkStart w:id="703" w:name="_Toc3968"/>
      <w:bookmarkStart w:id="704" w:name="_Toc532567152"/>
      <w:bookmarkStart w:id="705" w:name="_Toc519164327"/>
      <w:bookmarkStart w:id="706" w:name="_Toc25874"/>
      <w:bookmarkStart w:id="707" w:name="_Toc13818"/>
      <w:bookmarkStart w:id="708" w:name="_Toc23170"/>
      <w:r>
        <w:rPr>
          <w:rFonts w:hint="eastAsia" w:hAnsi="宋体" w:cs="宋体"/>
          <w:szCs w:val="21"/>
          <w:highlight w:val="none"/>
        </w:rPr>
        <w:t>联系方式见《邀请函》中“采购人、采购代理机构的名称、地址和联系方式”。</w:t>
      </w:r>
      <w:bookmarkEnd w:id="698"/>
      <w:bookmarkEnd w:id="699"/>
      <w:bookmarkEnd w:id="700"/>
      <w:bookmarkEnd w:id="701"/>
      <w:bookmarkEnd w:id="702"/>
      <w:bookmarkEnd w:id="703"/>
      <w:bookmarkEnd w:id="704"/>
      <w:bookmarkEnd w:id="705"/>
      <w:bookmarkEnd w:id="706"/>
      <w:bookmarkEnd w:id="707"/>
      <w:bookmarkEnd w:id="708"/>
    </w:p>
    <w:p>
      <w:pPr>
        <w:pStyle w:val="5"/>
        <w:numPr>
          <w:ilvl w:val="1"/>
          <w:numId w:val="2"/>
        </w:numPr>
        <w:tabs>
          <w:tab w:val="clear" w:pos="851"/>
        </w:tabs>
        <w:ind w:left="0" w:firstLine="425"/>
        <w:rPr>
          <w:rFonts w:hAnsi="宋体" w:cs="宋体"/>
          <w:szCs w:val="21"/>
          <w:highlight w:val="none"/>
        </w:rPr>
      </w:pPr>
      <w:bookmarkStart w:id="709" w:name="_Toc14116"/>
      <w:bookmarkStart w:id="710" w:name="_Toc17461"/>
      <w:bookmarkStart w:id="711" w:name="_Toc25817"/>
      <w:bookmarkStart w:id="712" w:name="_Toc519164328"/>
      <w:bookmarkStart w:id="713" w:name="_Toc526765960"/>
      <w:bookmarkStart w:id="714" w:name="_Toc30613"/>
      <w:bookmarkStart w:id="715" w:name="_Toc22375"/>
      <w:bookmarkStart w:id="716" w:name="_Toc519164474"/>
      <w:bookmarkStart w:id="717" w:name="_Toc532567153"/>
      <w:bookmarkStart w:id="718" w:name="_Toc19680"/>
      <w:bookmarkStart w:id="719" w:name="_Toc26165"/>
      <w:r>
        <w:rPr>
          <w:rFonts w:hint="eastAsia" w:hAnsi="宋体" w:cs="宋体"/>
          <w:szCs w:val="21"/>
          <w:highlight w:val="none"/>
        </w:rPr>
        <w:t>异议</w:t>
      </w:r>
      <w:bookmarkEnd w:id="709"/>
      <w:bookmarkEnd w:id="710"/>
      <w:bookmarkEnd w:id="711"/>
      <w:bookmarkEnd w:id="712"/>
      <w:bookmarkEnd w:id="713"/>
      <w:bookmarkEnd w:id="714"/>
      <w:bookmarkEnd w:id="715"/>
      <w:bookmarkEnd w:id="716"/>
      <w:bookmarkEnd w:id="717"/>
      <w:bookmarkEnd w:id="718"/>
      <w:bookmarkEnd w:id="719"/>
    </w:p>
    <w:bookmarkEnd w:id="686"/>
    <w:p>
      <w:pPr>
        <w:pStyle w:val="5"/>
        <w:ind w:firstLine="420" w:firstLineChars="200"/>
        <w:rPr>
          <w:rFonts w:hAnsi="宋体" w:cs="宋体"/>
          <w:szCs w:val="21"/>
          <w:highlight w:val="none"/>
        </w:rPr>
      </w:pPr>
      <w:bookmarkStart w:id="720" w:name="_Toc519164475"/>
      <w:bookmarkStart w:id="721" w:name="_Toc13399"/>
      <w:bookmarkStart w:id="722" w:name="_Toc22190"/>
      <w:bookmarkStart w:id="723" w:name="_Toc16505"/>
      <w:bookmarkStart w:id="724" w:name="_Toc519164329"/>
      <w:bookmarkStart w:id="725" w:name="_Toc532567154"/>
      <w:bookmarkStart w:id="726" w:name="_Toc526765961"/>
      <w:bookmarkStart w:id="727" w:name="_Toc5692"/>
      <w:bookmarkStart w:id="728" w:name="_Toc16283"/>
      <w:bookmarkStart w:id="729" w:name="_Toc30564"/>
      <w:bookmarkStart w:id="730" w:name="_Toc10257"/>
      <w:r>
        <w:rPr>
          <w:rFonts w:hint="eastAsia" w:hAnsi="宋体" w:cs="宋体"/>
          <w:szCs w:val="21"/>
          <w:highlight w:val="none"/>
        </w:rPr>
        <w:t>供应商认为磋商文件、采购过程或成交结果使自己的权益受到损害的，以书面形式向采购人或采购代理机构提出异议：</w:t>
      </w:r>
      <w:bookmarkEnd w:id="720"/>
      <w:bookmarkEnd w:id="721"/>
      <w:bookmarkEnd w:id="722"/>
      <w:bookmarkEnd w:id="723"/>
      <w:bookmarkEnd w:id="724"/>
      <w:bookmarkEnd w:id="725"/>
      <w:bookmarkEnd w:id="726"/>
      <w:bookmarkEnd w:id="727"/>
      <w:bookmarkEnd w:id="728"/>
      <w:bookmarkEnd w:id="729"/>
      <w:bookmarkEnd w:id="730"/>
    </w:p>
    <w:p>
      <w:pPr>
        <w:pStyle w:val="5"/>
        <w:ind w:firstLine="420" w:firstLineChars="200"/>
        <w:rPr>
          <w:rFonts w:hAnsi="宋体" w:cs="宋体"/>
          <w:szCs w:val="21"/>
          <w:highlight w:val="none"/>
        </w:rPr>
      </w:pPr>
      <w:bookmarkStart w:id="731" w:name="_Toc16705"/>
      <w:bookmarkStart w:id="732" w:name="_Toc526765962"/>
      <w:bookmarkStart w:id="733" w:name="_Toc29079"/>
      <w:bookmarkStart w:id="734" w:name="_Toc12847"/>
      <w:bookmarkStart w:id="735" w:name="_Toc532567155"/>
      <w:bookmarkStart w:id="736" w:name="_Toc12704"/>
      <w:bookmarkStart w:id="737" w:name="_Toc6331"/>
      <w:bookmarkStart w:id="738" w:name="_Toc519164330"/>
      <w:bookmarkStart w:id="739" w:name="_Toc519164476"/>
      <w:bookmarkStart w:id="740" w:name="_Toc10865"/>
      <w:bookmarkStart w:id="741" w:name="_Toc11564"/>
      <w:r>
        <w:rPr>
          <w:rFonts w:hint="eastAsia" w:hAnsi="宋体" w:cs="宋体"/>
          <w:szCs w:val="21"/>
          <w:highlight w:val="none"/>
        </w:rPr>
        <w:t>（1）对磋商文件有异议的，应当在磋商截止时间5日前提出，供应商异议应当有明确的请求和必要的证明材料；</w:t>
      </w:r>
      <w:bookmarkEnd w:id="731"/>
      <w:bookmarkEnd w:id="732"/>
      <w:bookmarkEnd w:id="733"/>
      <w:bookmarkEnd w:id="734"/>
      <w:bookmarkEnd w:id="735"/>
      <w:bookmarkEnd w:id="736"/>
      <w:bookmarkEnd w:id="737"/>
      <w:bookmarkEnd w:id="738"/>
      <w:bookmarkEnd w:id="739"/>
      <w:bookmarkEnd w:id="740"/>
      <w:bookmarkEnd w:id="741"/>
    </w:p>
    <w:p>
      <w:pPr>
        <w:pStyle w:val="5"/>
        <w:ind w:firstLine="420" w:firstLineChars="200"/>
        <w:rPr>
          <w:rFonts w:hAnsi="宋体" w:cs="宋体"/>
          <w:szCs w:val="21"/>
          <w:highlight w:val="none"/>
        </w:rPr>
      </w:pPr>
      <w:bookmarkStart w:id="742" w:name="_Toc32613"/>
      <w:bookmarkStart w:id="743" w:name="_Toc22115"/>
      <w:bookmarkStart w:id="744" w:name="_Toc16655"/>
      <w:bookmarkStart w:id="745" w:name="_Toc519164331"/>
      <w:bookmarkStart w:id="746" w:name="_Toc519164477"/>
      <w:bookmarkStart w:id="747" w:name="_Toc16877"/>
      <w:bookmarkStart w:id="748" w:name="_Toc16574"/>
      <w:bookmarkStart w:id="749" w:name="_Toc532567156"/>
      <w:bookmarkStart w:id="750" w:name="_Toc10326"/>
      <w:bookmarkStart w:id="751" w:name="_Toc526765963"/>
      <w:bookmarkStart w:id="752" w:name="_Toc11921"/>
      <w:r>
        <w:rPr>
          <w:rFonts w:hint="eastAsia" w:hAnsi="宋体" w:cs="宋体"/>
          <w:szCs w:val="21"/>
          <w:highlight w:val="none"/>
        </w:rPr>
        <w:t>（2）供应商或者其他利害关系人对评标结果有异议的，应当在成交候选供应商公示期间提出；供应商异议应当有明确的请求和必要的证明材料；</w:t>
      </w:r>
      <w:bookmarkEnd w:id="742"/>
      <w:bookmarkEnd w:id="743"/>
      <w:bookmarkEnd w:id="744"/>
      <w:bookmarkEnd w:id="745"/>
      <w:bookmarkEnd w:id="746"/>
      <w:bookmarkEnd w:id="747"/>
      <w:bookmarkEnd w:id="748"/>
      <w:bookmarkEnd w:id="749"/>
      <w:bookmarkEnd w:id="750"/>
      <w:bookmarkEnd w:id="751"/>
      <w:bookmarkEnd w:id="752"/>
    </w:p>
    <w:p>
      <w:pPr>
        <w:pStyle w:val="5"/>
        <w:ind w:firstLine="420" w:firstLineChars="200"/>
        <w:rPr>
          <w:rFonts w:hAnsi="宋体" w:cs="宋体"/>
          <w:szCs w:val="21"/>
          <w:highlight w:val="none"/>
        </w:rPr>
      </w:pPr>
      <w:bookmarkStart w:id="753" w:name="_Toc532567157"/>
      <w:bookmarkStart w:id="754" w:name="_Toc519164478"/>
      <w:bookmarkStart w:id="755" w:name="_Toc20354"/>
      <w:bookmarkStart w:id="756" w:name="_Toc7435"/>
      <w:bookmarkStart w:id="757" w:name="_Toc10281"/>
      <w:bookmarkStart w:id="758" w:name="_Toc27791"/>
      <w:bookmarkStart w:id="759" w:name="_Toc11833"/>
      <w:bookmarkStart w:id="760" w:name="_Toc526765964"/>
      <w:bookmarkStart w:id="761" w:name="_Toc6233"/>
      <w:bookmarkStart w:id="762" w:name="_Toc519164332"/>
      <w:bookmarkStart w:id="763" w:name="_Toc22572"/>
      <w:r>
        <w:rPr>
          <w:rFonts w:hint="eastAsia" w:hAnsi="宋体" w:cs="宋体"/>
          <w:szCs w:val="21"/>
          <w:highlight w:val="none"/>
        </w:rPr>
        <w:t>（3）采购人或采购代理机构在收到供应商的书面异议后3日内作出答复，并以书面形式通知提出异议的供应商，但答复内容不涉及商业秘密。</w:t>
      </w:r>
      <w:bookmarkEnd w:id="753"/>
      <w:bookmarkEnd w:id="754"/>
      <w:bookmarkEnd w:id="755"/>
      <w:bookmarkEnd w:id="756"/>
      <w:bookmarkEnd w:id="757"/>
      <w:bookmarkEnd w:id="758"/>
      <w:bookmarkEnd w:id="759"/>
      <w:bookmarkEnd w:id="760"/>
      <w:bookmarkEnd w:id="761"/>
      <w:bookmarkEnd w:id="762"/>
      <w:bookmarkEnd w:id="763"/>
    </w:p>
    <w:p>
      <w:pPr>
        <w:pStyle w:val="5"/>
        <w:ind w:firstLine="420" w:firstLineChars="200"/>
        <w:rPr>
          <w:rFonts w:hAnsi="宋体" w:cs="宋体"/>
          <w:szCs w:val="21"/>
          <w:highlight w:val="none"/>
        </w:rPr>
      </w:pPr>
      <w:bookmarkStart w:id="764" w:name="_Toc8103"/>
      <w:bookmarkStart w:id="765" w:name="_Toc519164333"/>
      <w:bookmarkStart w:id="766" w:name="_Toc9704"/>
      <w:bookmarkStart w:id="767" w:name="_Toc526765965"/>
      <w:bookmarkStart w:id="768" w:name="_Toc2032"/>
      <w:bookmarkStart w:id="769" w:name="_Toc519164479"/>
      <w:bookmarkStart w:id="770" w:name="_Toc32196"/>
      <w:bookmarkStart w:id="771" w:name="_Toc30656"/>
      <w:bookmarkStart w:id="772" w:name="_Toc532567158"/>
      <w:bookmarkStart w:id="773" w:name="_Toc15314"/>
      <w:bookmarkStart w:id="774" w:name="_Toc24554"/>
      <w:r>
        <w:rPr>
          <w:rFonts w:hint="eastAsia" w:hAnsi="宋体" w:cs="宋体"/>
          <w:szCs w:val="21"/>
          <w:highlight w:val="none"/>
        </w:rPr>
        <w:t>（4）异议内容不得含有虚假、恶意成份。依照谁主张谁举证的原则，提出异议者必须同时提交相关确凿的证据材料和注明证据的确切来源，证据来源必须合法，采购代理机构有权将异议函转发异议事项各关联方，请其作出解释说明。对捏造事实、滥用维权扰乱采购秩序的恶意质疑者，将上报行政监督管理部门依法处理。</w:t>
      </w:r>
      <w:bookmarkEnd w:id="764"/>
      <w:bookmarkEnd w:id="765"/>
      <w:bookmarkEnd w:id="766"/>
      <w:bookmarkEnd w:id="767"/>
      <w:bookmarkEnd w:id="768"/>
      <w:bookmarkEnd w:id="769"/>
      <w:bookmarkEnd w:id="770"/>
      <w:bookmarkEnd w:id="771"/>
      <w:bookmarkEnd w:id="772"/>
      <w:bookmarkEnd w:id="773"/>
      <w:bookmarkEnd w:id="774"/>
      <w:r>
        <w:rPr>
          <w:rFonts w:hint="eastAsia" w:hAnsi="宋体" w:cs="宋体"/>
          <w:szCs w:val="21"/>
          <w:highlight w:val="none"/>
        </w:rPr>
        <w:t xml:space="preserve"> </w:t>
      </w:r>
    </w:p>
    <w:p>
      <w:pPr>
        <w:pStyle w:val="5"/>
        <w:ind w:firstLine="420" w:firstLineChars="200"/>
        <w:rPr>
          <w:rFonts w:hAnsi="宋体" w:cs="宋体"/>
          <w:szCs w:val="21"/>
          <w:highlight w:val="none"/>
        </w:rPr>
      </w:pPr>
      <w:bookmarkStart w:id="775" w:name="_Toc77"/>
      <w:bookmarkStart w:id="776" w:name="_Toc10937"/>
      <w:bookmarkStart w:id="777" w:name="_Toc532567159"/>
      <w:bookmarkStart w:id="778" w:name="_Toc519164480"/>
      <w:bookmarkStart w:id="779" w:name="_Toc32719"/>
      <w:bookmarkStart w:id="780" w:name="_Toc526765966"/>
      <w:bookmarkStart w:id="781" w:name="_Toc8784"/>
      <w:bookmarkStart w:id="782" w:name="_Toc18539"/>
      <w:bookmarkStart w:id="783" w:name="_Toc5436"/>
      <w:bookmarkStart w:id="784" w:name="_Toc519164334"/>
      <w:bookmarkStart w:id="785" w:name="_Toc20786"/>
      <w:r>
        <w:rPr>
          <w:rFonts w:hint="eastAsia" w:hAnsi="宋体" w:cs="宋体"/>
          <w:szCs w:val="21"/>
          <w:highlight w:val="none"/>
        </w:rPr>
        <w:t>（5）供应商应在法定异议期内一次性提出针对同一采购程序环节的异议。</w:t>
      </w:r>
      <w:bookmarkEnd w:id="775"/>
      <w:bookmarkEnd w:id="776"/>
      <w:bookmarkEnd w:id="777"/>
      <w:bookmarkEnd w:id="778"/>
      <w:bookmarkEnd w:id="779"/>
      <w:bookmarkEnd w:id="780"/>
      <w:bookmarkEnd w:id="781"/>
      <w:bookmarkEnd w:id="782"/>
      <w:bookmarkEnd w:id="783"/>
      <w:bookmarkEnd w:id="784"/>
      <w:bookmarkEnd w:id="785"/>
    </w:p>
    <w:p>
      <w:pPr>
        <w:pStyle w:val="5"/>
        <w:ind w:firstLine="420" w:firstLineChars="200"/>
        <w:rPr>
          <w:rFonts w:hAnsi="宋体" w:cs="宋体"/>
          <w:szCs w:val="21"/>
          <w:highlight w:val="none"/>
        </w:rPr>
      </w:pPr>
      <w:bookmarkStart w:id="786" w:name="_Toc28423"/>
      <w:bookmarkStart w:id="787" w:name="_Toc22611"/>
      <w:bookmarkStart w:id="788" w:name="_Toc13660"/>
      <w:bookmarkStart w:id="789" w:name="_Toc12934"/>
      <w:bookmarkStart w:id="790" w:name="_Toc519164481"/>
      <w:bookmarkStart w:id="791" w:name="_Toc15122"/>
      <w:bookmarkStart w:id="792" w:name="_Toc526765967"/>
      <w:bookmarkStart w:id="793" w:name="_Toc17908"/>
      <w:bookmarkStart w:id="794" w:name="_Toc532567160"/>
      <w:bookmarkStart w:id="795" w:name="_Toc519164335"/>
      <w:bookmarkStart w:id="796" w:name="_Toc24904"/>
      <w:r>
        <w:rPr>
          <w:rFonts w:hint="eastAsia" w:hAnsi="宋体" w:cs="宋体"/>
          <w:szCs w:val="21"/>
          <w:highlight w:val="none"/>
        </w:rPr>
        <w:t>（6）异议函应当包括下列内容：</w:t>
      </w:r>
      <w:bookmarkEnd w:id="786"/>
      <w:bookmarkEnd w:id="787"/>
      <w:bookmarkEnd w:id="788"/>
      <w:bookmarkEnd w:id="789"/>
      <w:bookmarkEnd w:id="790"/>
      <w:bookmarkEnd w:id="791"/>
      <w:bookmarkEnd w:id="792"/>
      <w:bookmarkEnd w:id="793"/>
      <w:bookmarkEnd w:id="794"/>
      <w:bookmarkEnd w:id="795"/>
      <w:bookmarkEnd w:id="796"/>
    </w:p>
    <w:p>
      <w:pPr>
        <w:pStyle w:val="5"/>
        <w:ind w:firstLine="420" w:firstLineChars="200"/>
        <w:rPr>
          <w:rFonts w:hAnsi="宋体" w:cs="宋体"/>
          <w:szCs w:val="21"/>
          <w:highlight w:val="none"/>
        </w:rPr>
      </w:pPr>
      <w:bookmarkStart w:id="797" w:name="_Toc14792"/>
      <w:bookmarkStart w:id="798" w:name="_Toc31121"/>
      <w:bookmarkStart w:id="799" w:name="_Toc532567161"/>
      <w:bookmarkStart w:id="800" w:name="_Toc9645"/>
      <w:bookmarkStart w:id="801" w:name="_Toc4366"/>
      <w:bookmarkStart w:id="802" w:name="_Toc526765968"/>
      <w:bookmarkStart w:id="803" w:name="_Toc519164482"/>
      <w:bookmarkStart w:id="804" w:name="_Toc519164336"/>
      <w:bookmarkStart w:id="805" w:name="_Toc24024"/>
      <w:bookmarkStart w:id="806" w:name="_Toc17290"/>
      <w:bookmarkStart w:id="807" w:name="_Toc19690"/>
      <w:r>
        <w:rPr>
          <w:rFonts w:hint="eastAsia" w:hAnsi="宋体" w:cs="宋体"/>
          <w:szCs w:val="21"/>
          <w:highlight w:val="none"/>
        </w:rPr>
        <w:t>1）供应商的姓名或者名称、地址、邮编、联系人及联系电话；</w:t>
      </w:r>
      <w:bookmarkEnd w:id="797"/>
      <w:bookmarkEnd w:id="798"/>
      <w:bookmarkEnd w:id="799"/>
      <w:bookmarkEnd w:id="800"/>
      <w:bookmarkEnd w:id="801"/>
      <w:bookmarkEnd w:id="802"/>
      <w:bookmarkEnd w:id="803"/>
      <w:bookmarkEnd w:id="804"/>
      <w:bookmarkEnd w:id="805"/>
      <w:bookmarkEnd w:id="806"/>
      <w:bookmarkEnd w:id="807"/>
    </w:p>
    <w:p>
      <w:pPr>
        <w:pStyle w:val="5"/>
        <w:ind w:firstLine="420" w:firstLineChars="200"/>
        <w:rPr>
          <w:rFonts w:hAnsi="宋体" w:cs="宋体"/>
          <w:szCs w:val="21"/>
          <w:highlight w:val="none"/>
        </w:rPr>
      </w:pPr>
      <w:bookmarkStart w:id="808" w:name="_Toc532567162"/>
      <w:bookmarkStart w:id="809" w:name="_Toc526765969"/>
      <w:bookmarkStart w:id="810" w:name="_Toc31177"/>
      <w:bookmarkStart w:id="811" w:name="_Toc551"/>
      <w:bookmarkStart w:id="812" w:name="_Toc16555"/>
      <w:bookmarkStart w:id="813" w:name="_Toc519164337"/>
      <w:bookmarkStart w:id="814" w:name="_Toc23488"/>
      <w:bookmarkStart w:id="815" w:name="_Toc519164483"/>
      <w:bookmarkStart w:id="816" w:name="_Toc314"/>
      <w:bookmarkStart w:id="817" w:name="_Toc83"/>
      <w:bookmarkStart w:id="818" w:name="_Toc8003"/>
      <w:r>
        <w:rPr>
          <w:rFonts w:hint="eastAsia" w:hAnsi="宋体" w:cs="宋体"/>
          <w:szCs w:val="21"/>
          <w:highlight w:val="none"/>
        </w:rPr>
        <w:t>2）异议项目的名称、编号；</w:t>
      </w:r>
      <w:bookmarkEnd w:id="808"/>
      <w:bookmarkEnd w:id="809"/>
      <w:bookmarkEnd w:id="810"/>
      <w:bookmarkEnd w:id="811"/>
      <w:bookmarkEnd w:id="812"/>
      <w:bookmarkEnd w:id="813"/>
      <w:bookmarkEnd w:id="814"/>
      <w:bookmarkEnd w:id="815"/>
      <w:bookmarkEnd w:id="816"/>
      <w:bookmarkEnd w:id="817"/>
      <w:bookmarkEnd w:id="818"/>
    </w:p>
    <w:p>
      <w:pPr>
        <w:pStyle w:val="5"/>
        <w:ind w:firstLine="420" w:firstLineChars="200"/>
        <w:rPr>
          <w:rFonts w:hAnsi="宋体" w:cs="宋体"/>
          <w:szCs w:val="21"/>
          <w:highlight w:val="none"/>
        </w:rPr>
      </w:pPr>
      <w:bookmarkStart w:id="819" w:name="_Toc519164338"/>
      <w:bookmarkStart w:id="820" w:name="_Toc24569"/>
      <w:bookmarkStart w:id="821" w:name="_Toc32273"/>
      <w:bookmarkStart w:id="822" w:name="_Toc532567163"/>
      <w:bookmarkStart w:id="823" w:name="_Toc24589"/>
      <w:bookmarkStart w:id="824" w:name="_Toc24353"/>
      <w:bookmarkStart w:id="825" w:name="_Toc526765970"/>
      <w:bookmarkStart w:id="826" w:name="_Toc17067"/>
      <w:bookmarkStart w:id="827" w:name="_Toc519164484"/>
      <w:bookmarkStart w:id="828" w:name="_Toc27177"/>
      <w:bookmarkStart w:id="829" w:name="_Toc28074"/>
      <w:r>
        <w:rPr>
          <w:rFonts w:hint="eastAsia" w:hAnsi="宋体" w:cs="宋体"/>
          <w:szCs w:val="21"/>
          <w:highlight w:val="none"/>
        </w:rPr>
        <w:t>3）具体、明确的异议事项和与异议事项相关的请求；</w:t>
      </w:r>
      <w:bookmarkEnd w:id="819"/>
      <w:bookmarkEnd w:id="820"/>
      <w:bookmarkEnd w:id="821"/>
      <w:bookmarkEnd w:id="822"/>
      <w:bookmarkEnd w:id="823"/>
      <w:bookmarkEnd w:id="824"/>
      <w:bookmarkEnd w:id="825"/>
      <w:bookmarkEnd w:id="826"/>
      <w:bookmarkEnd w:id="827"/>
      <w:bookmarkEnd w:id="828"/>
      <w:bookmarkEnd w:id="829"/>
    </w:p>
    <w:p>
      <w:pPr>
        <w:pStyle w:val="5"/>
        <w:ind w:firstLine="420" w:firstLineChars="200"/>
        <w:rPr>
          <w:rFonts w:hAnsi="宋体" w:cs="宋体"/>
          <w:szCs w:val="21"/>
          <w:highlight w:val="none"/>
        </w:rPr>
      </w:pPr>
      <w:bookmarkStart w:id="830" w:name="_Toc519164485"/>
      <w:bookmarkStart w:id="831" w:name="_Toc24503"/>
      <w:bookmarkStart w:id="832" w:name="_Toc14902"/>
      <w:bookmarkStart w:id="833" w:name="_Toc526765971"/>
      <w:bookmarkStart w:id="834" w:name="_Toc30385"/>
      <w:bookmarkStart w:id="835" w:name="_Toc2602"/>
      <w:bookmarkStart w:id="836" w:name="_Toc5189"/>
      <w:bookmarkStart w:id="837" w:name="_Toc532567164"/>
      <w:bookmarkStart w:id="838" w:name="_Toc519164339"/>
      <w:bookmarkStart w:id="839" w:name="_Toc10144"/>
      <w:bookmarkStart w:id="840" w:name="_Toc25231"/>
      <w:r>
        <w:rPr>
          <w:rFonts w:hint="eastAsia" w:hAnsi="宋体" w:cs="宋体"/>
          <w:szCs w:val="21"/>
          <w:highlight w:val="none"/>
        </w:rPr>
        <w:t>4）事实依据；</w:t>
      </w:r>
      <w:bookmarkEnd w:id="830"/>
      <w:bookmarkEnd w:id="831"/>
      <w:bookmarkEnd w:id="832"/>
      <w:bookmarkEnd w:id="833"/>
      <w:bookmarkEnd w:id="834"/>
      <w:bookmarkEnd w:id="835"/>
      <w:bookmarkEnd w:id="836"/>
      <w:bookmarkEnd w:id="837"/>
      <w:bookmarkEnd w:id="838"/>
      <w:bookmarkEnd w:id="839"/>
      <w:bookmarkEnd w:id="840"/>
    </w:p>
    <w:p>
      <w:pPr>
        <w:pStyle w:val="5"/>
        <w:ind w:firstLine="420" w:firstLineChars="200"/>
        <w:rPr>
          <w:rFonts w:hAnsi="宋体" w:cs="宋体"/>
          <w:szCs w:val="21"/>
          <w:highlight w:val="none"/>
        </w:rPr>
      </w:pPr>
      <w:bookmarkStart w:id="841" w:name="_Toc31859"/>
      <w:bookmarkStart w:id="842" w:name="_Toc519164340"/>
      <w:bookmarkStart w:id="843" w:name="_Toc519164486"/>
      <w:bookmarkStart w:id="844" w:name="_Toc19439"/>
      <w:bookmarkStart w:id="845" w:name="_Toc275"/>
      <w:bookmarkStart w:id="846" w:name="_Toc532567165"/>
      <w:bookmarkStart w:id="847" w:name="_Toc526765972"/>
      <w:bookmarkStart w:id="848" w:name="_Toc30729"/>
      <w:bookmarkStart w:id="849" w:name="_Toc24048"/>
      <w:bookmarkStart w:id="850" w:name="_Toc28563"/>
      <w:bookmarkStart w:id="851" w:name="_Toc4669"/>
      <w:r>
        <w:rPr>
          <w:rFonts w:hint="eastAsia" w:hAnsi="宋体" w:cs="宋体"/>
          <w:szCs w:val="21"/>
          <w:highlight w:val="none"/>
        </w:rPr>
        <w:t>5）必要的法律依据；</w:t>
      </w:r>
      <w:bookmarkEnd w:id="841"/>
      <w:bookmarkEnd w:id="842"/>
      <w:bookmarkEnd w:id="843"/>
      <w:bookmarkEnd w:id="844"/>
      <w:bookmarkEnd w:id="845"/>
      <w:bookmarkEnd w:id="846"/>
      <w:bookmarkEnd w:id="847"/>
      <w:bookmarkEnd w:id="848"/>
      <w:bookmarkEnd w:id="849"/>
      <w:bookmarkEnd w:id="850"/>
      <w:bookmarkEnd w:id="851"/>
    </w:p>
    <w:p>
      <w:pPr>
        <w:pStyle w:val="5"/>
        <w:ind w:firstLine="420" w:firstLineChars="200"/>
        <w:rPr>
          <w:rFonts w:hAnsi="宋体" w:cs="宋体"/>
          <w:szCs w:val="21"/>
          <w:highlight w:val="none"/>
        </w:rPr>
      </w:pPr>
      <w:bookmarkStart w:id="852" w:name="_Toc17553"/>
      <w:bookmarkStart w:id="853" w:name="_Toc19871"/>
      <w:bookmarkStart w:id="854" w:name="_Toc519164341"/>
      <w:bookmarkStart w:id="855" w:name="_Toc17196"/>
      <w:bookmarkStart w:id="856" w:name="_Toc532567166"/>
      <w:bookmarkStart w:id="857" w:name="_Toc22962"/>
      <w:bookmarkStart w:id="858" w:name="_Toc519164487"/>
      <w:bookmarkStart w:id="859" w:name="_Toc14999"/>
      <w:bookmarkStart w:id="860" w:name="_Toc526765973"/>
      <w:bookmarkStart w:id="861" w:name="_Toc16793"/>
      <w:bookmarkStart w:id="862" w:name="_Toc3089"/>
      <w:r>
        <w:rPr>
          <w:rFonts w:hint="eastAsia" w:hAnsi="宋体" w:cs="宋体"/>
          <w:szCs w:val="21"/>
          <w:highlight w:val="none"/>
        </w:rPr>
        <w:t>6）提出异议的日期。</w:t>
      </w:r>
      <w:bookmarkEnd w:id="852"/>
      <w:bookmarkEnd w:id="853"/>
      <w:bookmarkEnd w:id="854"/>
      <w:bookmarkEnd w:id="855"/>
      <w:bookmarkEnd w:id="856"/>
      <w:bookmarkEnd w:id="857"/>
      <w:bookmarkEnd w:id="858"/>
      <w:bookmarkEnd w:id="859"/>
      <w:bookmarkEnd w:id="860"/>
      <w:bookmarkEnd w:id="861"/>
      <w:bookmarkEnd w:id="862"/>
    </w:p>
    <w:p>
      <w:pPr>
        <w:pStyle w:val="5"/>
        <w:ind w:firstLine="420" w:firstLineChars="200"/>
        <w:rPr>
          <w:rFonts w:hAnsi="宋体" w:cs="宋体"/>
          <w:szCs w:val="21"/>
          <w:highlight w:val="none"/>
        </w:rPr>
      </w:pPr>
      <w:bookmarkStart w:id="863" w:name="_Toc27240"/>
      <w:bookmarkStart w:id="864" w:name="_Toc519164342"/>
      <w:bookmarkStart w:id="865" w:name="_Toc7207"/>
      <w:bookmarkStart w:id="866" w:name="_Toc519164488"/>
      <w:bookmarkStart w:id="867" w:name="_Toc145"/>
      <w:bookmarkStart w:id="868" w:name="_Toc532567167"/>
      <w:bookmarkStart w:id="869" w:name="_Toc19758"/>
      <w:bookmarkStart w:id="870" w:name="_Toc526765974"/>
      <w:bookmarkStart w:id="871" w:name="_Toc32349"/>
      <w:bookmarkStart w:id="872" w:name="_Toc5255"/>
      <w:bookmarkStart w:id="873" w:name="_Toc10290"/>
      <w:r>
        <w:rPr>
          <w:rFonts w:hint="eastAsia" w:hAnsi="宋体" w:cs="宋体"/>
          <w:szCs w:val="21"/>
          <w:highlight w:val="none"/>
        </w:rPr>
        <w:t>供应商为自然人的，应当由本人签字；供应商为法人或者其他组织的，应当由法定代表人、主要负责人，或者其授权代表签字或者盖章，并加盖公章。</w:t>
      </w:r>
      <w:bookmarkEnd w:id="863"/>
      <w:bookmarkEnd w:id="864"/>
      <w:bookmarkEnd w:id="865"/>
      <w:bookmarkEnd w:id="866"/>
      <w:bookmarkEnd w:id="867"/>
      <w:bookmarkEnd w:id="868"/>
      <w:bookmarkEnd w:id="869"/>
      <w:bookmarkEnd w:id="870"/>
      <w:bookmarkEnd w:id="871"/>
      <w:bookmarkEnd w:id="872"/>
      <w:bookmarkEnd w:id="873"/>
    </w:p>
    <w:p>
      <w:pPr>
        <w:pStyle w:val="5"/>
        <w:ind w:firstLine="420" w:firstLineChars="200"/>
        <w:rPr>
          <w:rFonts w:hAnsi="宋体" w:cs="宋体"/>
          <w:szCs w:val="21"/>
          <w:highlight w:val="none"/>
        </w:rPr>
      </w:pPr>
      <w:bookmarkStart w:id="874" w:name="_Toc4062"/>
      <w:bookmarkStart w:id="875" w:name="_Toc8782"/>
      <w:bookmarkStart w:id="876" w:name="_Toc526765975"/>
      <w:bookmarkStart w:id="877" w:name="_Toc8756"/>
      <w:bookmarkStart w:id="878" w:name="_Toc532567168"/>
      <w:bookmarkStart w:id="879" w:name="_Toc519164489"/>
      <w:bookmarkStart w:id="880" w:name="_Toc1796"/>
      <w:bookmarkStart w:id="881" w:name="_Toc21145"/>
      <w:bookmarkStart w:id="882" w:name="_Toc519164343"/>
      <w:bookmarkStart w:id="883" w:name="_Toc12860"/>
      <w:bookmarkStart w:id="884" w:name="_Toc2660"/>
      <w:r>
        <w:rPr>
          <w:rFonts w:hint="eastAsia" w:hAnsi="宋体" w:cs="宋体"/>
          <w:szCs w:val="21"/>
          <w:highlight w:val="none"/>
        </w:rPr>
        <w:t>（7）异议材料中有外文书证或者外国语视听资料的，应当附有中文译本，由翻译机构盖章或者翻译人员签名。</w:t>
      </w:r>
      <w:bookmarkEnd w:id="874"/>
      <w:bookmarkEnd w:id="875"/>
      <w:bookmarkEnd w:id="876"/>
      <w:bookmarkEnd w:id="877"/>
      <w:bookmarkEnd w:id="878"/>
      <w:bookmarkEnd w:id="879"/>
      <w:bookmarkEnd w:id="880"/>
      <w:bookmarkEnd w:id="881"/>
      <w:bookmarkEnd w:id="882"/>
      <w:bookmarkEnd w:id="883"/>
      <w:bookmarkEnd w:id="884"/>
    </w:p>
    <w:p>
      <w:pPr>
        <w:pStyle w:val="5"/>
        <w:ind w:firstLine="420" w:firstLineChars="200"/>
        <w:rPr>
          <w:rFonts w:hAnsi="宋体" w:cs="宋体"/>
          <w:szCs w:val="21"/>
          <w:highlight w:val="none"/>
        </w:rPr>
      </w:pPr>
      <w:bookmarkStart w:id="885" w:name="_Toc526765976"/>
      <w:bookmarkStart w:id="886" w:name="_Toc26844"/>
      <w:bookmarkStart w:id="887" w:name="_Toc16954"/>
      <w:bookmarkStart w:id="888" w:name="_Toc17164"/>
      <w:bookmarkStart w:id="889" w:name="_Toc28346"/>
      <w:bookmarkStart w:id="890" w:name="_Toc519164344"/>
      <w:bookmarkStart w:id="891" w:name="_Toc519164490"/>
      <w:bookmarkStart w:id="892" w:name="_Toc532567169"/>
      <w:bookmarkStart w:id="893" w:name="_Toc23607"/>
      <w:bookmarkStart w:id="894" w:name="_Toc6350"/>
      <w:bookmarkStart w:id="895" w:name="_Toc1470"/>
      <w:r>
        <w:rPr>
          <w:rFonts w:hint="eastAsia" w:hAnsi="宋体" w:cs="宋体"/>
          <w:szCs w:val="21"/>
          <w:highlight w:val="none"/>
        </w:rPr>
        <w:t>（8）异议事项属于有关法律、法规和规章规定处于保密阶段的事项，异议的当事人应当提供信息来源或有效证据。</w:t>
      </w:r>
      <w:bookmarkEnd w:id="885"/>
      <w:bookmarkEnd w:id="886"/>
      <w:bookmarkEnd w:id="887"/>
      <w:bookmarkEnd w:id="888"/>
      <w:bookmarkEnd w:id="889"/>
      <w:bookmarkEnd w:id="890"/>
      <w:bookmarkEnd w:id="891"/>
      <w:bookmarkEnd w:id="892"/>
      <w:bookmarkEnd w:id="893"/>
      <w:bookmarkEnd w:id="894"/>
      <w:bookmarkEnd w:id="895"/>
    </w:p>
    <w:p>
      <w:pPr>
        <w:pStyle w:val="5"/>
        <w:ind w:firstLine="420" w:firstLineChars="200"/>
        <w:rPr>
          <w:rFonts w:hAnsi="宋体" w:cs="宋体"/>
          <w:szCs w:val="21"/>
          <w:highlight w:val="none"/>
        </w:rPr>
      </w:pPr>
      <w:bookmarkStart w:id="896" w:name="_Toc17816"/>
      <w:bookmarkStart w:id="897" w:name="_Toc23647"/>
      <w:bookmarkStart w:id="898" w:name="_Toc526765977"/>
      <w:bookmarkStart w:id="899" w:name="_Toc22722"/>
      <w:bookmarkStart w:id="900" w:name="_Toc532567170"/>
      <w:bookmarkStart w:id="901" w:name="_Toc24565"/>
      <w:bookmarkStart w:id="902" w:name="_Toc519164345"/>
      <w:bookmarkStart w:id="903" w:name="_Toc519164491"/>
      <w:bookmarkStart w:id="904" w:name="_Toc1869"/>
      <w:bookmarkStart w:id="905" w:name="_Toc23199"/>
      <w:bookmarkStart w:id="906" w:name="_Toc12129"/>
      <w:r>
        <w:rPr>
          <w:rFonts w:hint="eastAsia" w:hAnsi="宋体" w:cs="宋体"/>
          <w:szCs w:val="21"/>
          <w:highlight w:val="none"/>
        </w:rPr>
        <w:t>（9）异议联系方式</w:t>
      </w:r>
      <w:bookmarkEnd w:id="896"/>
      <w:bookmarkEnd w:id="897"/>
      <w:bookmarkEnd w:id="898"/>
      <w:bookmarkEnd w:id="899"/>
      <w:bookmarkEnd w:id="900"/>
      <w:bookmarkEnd w:id="901"/>
      <w:bookmarkEnd w:id="902"/>
      <w:bookmarkEnd w:id="903"/>
      <w:bookmarkEnd w:id="904"/>
      <w:bookmarkEnd w:id="905"/>
      <w:bookmarkEnd w:id="906"/>
    </w:p>
    <w:p>
      <w:pPr>
        <w:pStyle w:val="5"/>
        <w:ind w:left="540"/>
        <w:rPr>
          <w:rFonts w:hAnsi="宋体" w:cs="宋体"/>
          <w:szCs w:val="21"/>
          <w:highlight w:val="none"/>
        </w:rPr>
      </w:pPr>
      <w:bookmarkStart w:id="907" w:name="_Toc519164492"/>
      <w:bookmarkStart w:id="908" w:name="_Toc31344"/>
      <w:bookmarkStart w:id="909" w:name="_Toc519164346"/>
      <w:bookmarkStart w:id="910" w:name="_Toc13215"/>
      <w:bookmarkStart w:id="911" w:name="_Toc31219"/>
      <w:bookmarkStart w:id="912" w:name="_Toc532567171"/>
      <w:bookmarkStart w:id="913" w:name="_Toc22543"/>
      <w:bookmarkStart w:id="914" w:name="_Toc526765978"/>
      <w:bookmarkStart w:id="915" w:name="_Toc28352"/>
      <w:bookmarkStart w:id="916" w:name="_Toc19703"/>
      <w:bookmarkStart w:id="917" w:name="_Toc22219"/>
      <w:r>
        <w:rPr>
          <w:rFonts w:hint="eastAsia" w:hAnsi="宋体" w:cs="宋体"/>
          <w:szCs w:val="21"/>
          <w:highlight w:val="none"/>
        </w:rPr>
        <w:t>异议受理机构名称：广东省机电设备招标有限公司</w:t>
      </w:r>
      <w:bookmarkEnd w:id="907"/>
      <w:bookmarkEnd w:id="908"/>
      <w:bookmarkEnd w:id="909"/>
      <w:bookmarkEnd w:id="910"/>
      <w:bookmarkEnd w:id="911"/>
      <w:bookmarkEnd w:id="912"/>
      <w:bookmarkEnd w:id="913"/>
      <w:bookmarkEnd w:id="914"/>
      <w:bookmarkEnd w:id="915"/>
      <w:bookmarkEnd w:id="916"/>
      <w:bookmarkEnd w:id="917"/>
    </w:p>
    <w:p>
      <w:pPr>
        <w:pStyle w:val="5"/>
        <w:ind w:left="540"/>
        <w:rPr>
          <w:rFonts w:hAnsi="宋体" w:cs="宋体"/>
          <w:szCs w:val="21"/>
          <w:highlight w:val="none"/>
        </w:rPr>
      </w:pPr>
      <w:bookmarkStart w:id="918" w:name="_Toc30279"/>
      <w:bookmarkStart w:id="919" w:name="_Toc519164347"/>
      <w:bookmarkStart w:id="920" w:name="_Toc526765979"/>
      <w:bookmarkStart w:id="921" w:name="_Toc1546"/>
      <w:bookmarkStart w:id="922" w:name="_Toc10494"/>
      <w:bookmarkStart w:id="923" w:name="_Toc7050"/>
      <w:bookmarkStart w:id="924" w:name="_Toc27830"/>
      <w:bookmarkStart w:id="925" w:name="_Toc2180"/>
      <w:bookmarkStart w:id="926" w:name="_Toc532567172"/>
      <w:bookmarkStart w:id="927" w:name="_Toc519164493"/>
      <w:bookmarkStart w:id="928" w:name="_Toc20458"/>
      <w:r>
        <w:rPr>
          <w:rFonts w:hint="eastAsia" w:hAnsi="宋体" w:cs="宋体"/>
          <w:szCs w:val="21"/>
          <w:highlight w:val="none"/>
        </w:rPr>
        <w:t>异议受理机构地址：广州市环市中路316号金鹰大厦25楼</w:t>
      </w:r>
      <w:bookmarkEnd w:id="918"/>
      <w:bookmarkEnd w:id="919"/>
      <w:bookmarkEnd w:id="920"/>
      <w:bookmarkEnd w:id="921"/>
      <w:bookmarkEnd w:id="922"/>
      <w:bookmarkEnd w:id="923"/>
      <w:bookmarkEnd w:id="924"/>
      <w:bookmarkEnd w:id="925"/>
      <w:bookmarkEnd w:id="926"/>
      <w:bookmarkEnd w:id="927"/>
      <w:bookmarkEnd w:id="928"/>
    </w:p>
    <w:p>
      <w:pPr>
        <w:pStyle w:val="5"/>
        <w:ind w:left="540"/>
        <w:rPr>
          <w:rFonts w:hAnsi="宋体" w:cs="宋体"/>
          <w:szCs w:val="21"/>
          <w:highlight w:val="none"/>
        </w:rPr>
      </w:pPr>
      <w:bookmarkStart w:id="929" w:name="_Toc519164348"/>
      <w:bookmarkStart w:id="930" w:name="_Toc15238"/>
      <w:bookmarkStart w:id="931" w:name="_Toc1668"/>
      <w:bookmarkStart w:id="932" w:name="_Toc519164494"/>
      <w:bookmarkStart w:id="933" w:name="_Toc526765980"/>
      <w:bookmarkStart w:id="934" w:name="_Toc30708"/>
      <w:bookmarkStart w:id="935" w:name="_Toc532567173"/>
      <w:bookmarkStart w:id="936" w:name="_Toc26709"/>
      <w:bookmarkStart w:id="937" w:name="_Toc21488"/>
      <w:bookmarkStart w:id="938" w:name="_Toc24629"/>
      <w:bookmarkStart w:id="939" w:name="_Toc7583"/>
      <w:r>
        <w:rPr>
          <w:rFonts w:hint="eastAsia" w:hAnsi="宋体" w:cs="宋体"/>
          <w:szCs w:val="21"/>
          <w:highlight w:val="none"/>
        </w:rPr>
        <w:t>异议受理机构电话：020-83544461</w:t>
      </w:r>
      <w:bookmarkEnd w:id="929"/>
      <w:bookmarkEnd w:id="930"/>
      <w:bookmarkEnd w:id="931"/>
      <w:bookmarkEnd w:id="932"/>
      <w:bookmarkEnd w:id="933"/>
      <w:bookmarkEnd w:id="934"/>
      <w:bookmarkEnd w:id="935"/>
      <w:bookmarkEnd w:id="936"/>
      <w:bookmarkEnd w:id="937"/>
      <w:bookmarkEnd w:id="938"/>
      <w:bookmarkEnd w:id="939"/>
    </w:p>
    <w:p>
      <w:pPr>
        <w:pStyle w:val="5"/>
        <w:tabs>
          <w:tab w:val="clear" w:pos="851"/>
        </w:tabs>
        <w:ind w:left="540"/>
        <w:rPr>
          <w:rFonts w:hAnsi="宋体" w:cs="宋体"/>
          <w:szCs w:val="21"/>
          <w:highlight w:val="none"/>
        </w:rPr>
      </w:pPr>
      <w:bookmarkStart w:id="940" w:name="_Toc519164349"/>
      <w:bookmarkStart w:id="941" w:name="_Toc519164495"/>
      <w:bookmarkStart w:id="942" w:name="_Toc526765981"/>
      <w:bookmarkStart w:id="943" w:name="_Toc532567174"/>
      <w:bookmarkStart w:id="944" w:name="_Toc14925"/>
      <w:bookmarkStart w:id="945" w:name="_Toc11305"/>
      <w:bookmarkStart w:id="946" w:name="_Toc29135"/>
      <w:bookmarkStart w:id="947" w:name="_Toc11036"/>
      <w:bookmarkStart w:id="948" w:name="_Toc9394"/>
      <w:bookmarkStart w:id="949" w:name="_Toc19898"/>
      <w:bookmarkStart w:id="950" w:name="_Toc4958"/>
      <w:r>
        <w:rPr>
          <w:rFonts w:hint="eastAsia" w:hAnsi="宋体" w:cs="宋体"/>
          <w:szCs w:val="21"/>
          <w:highlight w:val="none"/>
        </w:rPr>
        <w:t>异议受理机构邮箱：</w:t>
      </w:r>
      <w:r>
        <w:rPr>
          <w:highlight w:val="none"/>
        </w:rPr>
        <w:fldChar w:fldCharType="begin"/>
      </w:r>
      <w:r>
        <w:rPr>
          <w:highlight w:val="none"/>
        </w:rPr>
        <w:instrText xml:space="preserve"> HYPERLINK "mailto:gmetb3@163.com" </w:instrText>
      </w:r>
      <w:r>
        <w:rPr>
          <w:highlight w:val="none"/>
        </w:rPr>
        <w:fldChar w:fldCharType="separate"/>
      </w:r>
      <w:r>
        <w:rPr>
          <w:rFonts w:hint="eastAsia" w:hAnsi="宋体" w:cs="宋体"/>
          <w:highlight w:val="none"/>
        </w:rPr>
        <w:t>gmetb3@163.com</w:t>
      </w:r>
      <w:bookmarkEnd w:id="940"/>
      <w:bookmarkEnd w:id="941"/>
      <w:bookmarkEnd w:id="942"/>
      <w:bookmarkEnd w:id="943"/>
      <w:r>
        <w:rPr>
          <w:rFonts w:hint="eastAsia" w:hAnsi="宋体" w:cs="宋体"/>
          <w:highlight w:val="none"/>
        </w:rPr>
        <w:fldChar w:fldCharType="end"/>
      </w:r>
      <w:bookmarkEnd w:id="944"/>
      <w:bookmarkEnd w:id="945"/>
      <w:bookmarkEnd w:id="946"/>
      <w:bookmarkEnd w:id="947"/>
      <w:bookmarkEnd w:id="948"/>
      <w:bookmarkEnd w:id="949"/>
      <w:bookmarkEnd w:id="950"/>
    </w:p>
    <w:p>
      <w:pPr>
        <w:pStyle w:val="4"/>
        <w:rPr>
          <w:rFonts w:ascii="宋体" w:hAnsi="宋体" w:cs="宋体"/>
          <w:highlight w:val="none"/>
        </w:rPr>
      </w:pPr>
    </w:p>
    <w:p>
      <w:pPr>
        <w:pStyle w:val="3"/>
        <w:numPr>
          <w:ilvl w:val="0"/>
          <w:numId w:val="2"/>
        </w:numPr>
        <w:ind w:left="567" w:hanging="27"/>
        <w:jc w:val="left"/>
        <w:rPr>
          <w:rFonts w:hAnsi="宋体" w:cs="宋体"/>
          <w:b/>
          <w:sz w:val="21"/>
          <w:szCs w:val="21"/>
          <w:highlight w:val="none"/>
        </w:rPr>
      </w:pPr>
      <w:bookmarkStart w:id="951" w:name="_Toc497687544"/>
      <w:bookmarkStart w:id="952" w:name="_Toc502737258"/>
      <w:bookmarkStart w:id="953" w:name="_Toc469512619"/>
      <w:bookmarkStart w:id="954" w:name="_Toc519164350"/>
      <w:bookmarkStart w:id="955" w:name="_Toc469512845"/>
      <w:bookmarkStart w:id="956" w:name="_Toc526765982"/>
      <w:bookmarkStart w:id="957" w:name="_Toc519164496"/>
      <w:bookmarkStart w:id="958" w:name="_Toc27749"/>
      <w:bookmarkStart w:id="959" w:name="_Toc532567175"/>
      <w:bookmarkStart w:id="960" w:name="_Toc5410"/>
      <w:bookmarkStart w:id="961" w:name="_Toc497225657"/>
      <w:bookmarkStart w:id="962" w:name="_Toc26802"/>
      <w:bookmarkStart w:id="963" w:name="_Toc19503"/>
      <w:bookmarkStart w:id="964" w:name="_Toc29356"/>
      <w:bookmarkStart w:id="965" w:name="_Toc17885"/>
      <w:bookmarkStart w:id="966" w:name="_Toc18316"/>
      <w:bookmarkStart w:id="967" w:name="_Toc32139"/>
      <w:bookmarkStart w:id="968" w:name="_Toc46308681"/>
      <w:bookmarkStart w:id="969" w:name="_Toc42394661"/>
      <w:bookmarkStart w:id="970" w:name="_Toc98035086"/>
      <w:bookmarkStart w:id="971" w:name="_Toc41723923"/>
      <w:bookmarkStart w:id="972" w:name="_Toc50276145"/>
      <w:bookmarkStart w:id="973" w:name="_Toc42313159"/>
      <w:bookmarkStart w:id="974" w:name="_Toc41884693"/>
      <w:bookmarkStart w:id="975" w:name="_Toc46308525"/>
      <w:bookmarkStart w:id="976" w:name="_Toc50276193"/>
      <w:bookmarkStart w:id="977" w:name="_Toc42394504"/>
      <w:bookmarkStart w:id="978" w:name="_Toc101771363"/>
      <w:bookmarkStart w:id="979" w:name="_Toc98579598"/>
      <w:bookmarkStart w:id="980" w:name="_Toc98580281"/>
      <w:bookmarkStart w:id="981" w:name="_Toc101951249"/>
      <w:bookmarkStart w:id="982" w:name="_Toc98579057"/>
      <w:bookmarkStart w:id="983" w:name="_Toc98578999"/>
      <w:bookmarkStart w:id="984" w:name="_Toc101843116"/>
      <w:bookmarkStart w:id="985" w:name="_Toc175644387"/>
      <w:bookmarkStart w:id="986" w:name="_Toc101775116"/>
      <w:r>
        <w:rPr>
          <w:rFonts w:hint="eastAsia" w:hAnsi="宋体" w:cs="宋体"/>
          <w:b/>
          <w:sz w:val="21"/>
          <w:szCs w:val="21"/>
          <w:highlight w:val="none"/>
        </w:rPr>
        <w:t>合同的订立和履行</w:t>
      </w:r>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p>
    <w:p>
      <w:pPr>
        <w:pStyle w:val="5"/>
        <w:numPr>
          <w:ilvl w:val="1"/>
          <w:numId w:val="2"/>
        </w:numPr>
        <w:tabs>
          <w:tab w:val="clear" w:pos="851"/>
        </w:tabs>
        <w:ind w:left="0" w:firstLine="425"/>
        <w:rPr>
          <w:rFonts w:hAnsi="宋体" w:cs="宋体"/>
          <w:szCs w:val="21"/>
          <w:highlight w:val="none"/>
        </w:rPr>
      </w:pPr>
      <w:bookmarkStart w:id="987" w:name="_Toc7418"/>
      <w:bookmarkStart w:id="988" w:name="_Toc519164497"/>
      <w:bookmarkStart w:id="989" w:name="_Toc497687545"/>
      <w:bookmarkStart w:id="990" w:name="_Toc469512846"/>
      <w:bookmarkStart w:id="991" w:name="_Toc519164351"/>
      <w:bookmarkStart w:id="992" w:name="_Toc3997"/>
      <w:bookmarkStart w:id="993" w:name="_Toc23804"/>
      <w:bookmarkStart w:id="994" w:name="_Toc469512620"/>
      <w:bookmarkStart w:id="995" w:name="_Toc19063"/>
      <w:bookmarkStart w:id="996" w:name="_Toc497225658"/>
      <w:bookmarkStart w:id="997" w:name="_Toc526765983"/>
      <w:bookmarkStart w:id="998" w:name="_Toc30347"/>
      <w:bookmarkStart w:id="999" w:name="_Toc532567176"/>
      <w:bookmarkStart w:id="1000" w:name="_Toc10651"/>
      <w:bookmarkStart w:id="1001" w:name="_Toc502737259"/>
      <w:bookmarkStart w:id="1002" w:name="_Toc4538"/>
      <w:r>
        <w:rPr>
          <w:rFonts w:hint="eastAsia" w:hAnsi="宋体" w:cs="宋体"/>
          <w:szCs w:val="21"/>
          <w:highlight w:val="none"/>
        </w:rPr>
        <w:t>合同的订立</w:t>
      </w:r>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p>
    <w:p>
      <w:pPr>
        <w:pStyle w:val="5"/>
        <w:numPr>
          <w:ilvl w:val="2"/>
          <w:numId w:val="2"/>
        </w:numPr>
        <w:tabs>
          <w:tab w:val="clear" w:pos="851"/>
        </w:tabs>
        <w:ind w:left="0" w:firstLine="540"/>
        <w:rPr>
          <w:rFonts w:hAnsi="宋体" w:cs="宋体"/>
          <w:szCs w:val="21"/>
          <w:highlight w:val="none"/>
        </w:rPr>
      </w:pPr>
      <w:bookmarkStart w:id="1003" w:name="_Toc519164352"/>
      <w:bookmarkStart w:id="1004" w:name="_Toc526765984"/>
      <w:bookmarkStart w:id="1005" w:name="_Toc497225659"/>
      <w:bookmarkStart w:id="1006" w:name="_Toc22016"/>
      <w:bookmarkStart w:id="1007" w:name="_Toc952"/>
      <w:bookmarkStart w:id="1008" w:name="_Toc497687546"/>
      <w:bookmarkStart w:id="1009" w:name="_Toc16015"/>
      <w:bookmarkStart w:id="1010" w:name="_Toc469512621"/>
      <w:bookmarkStart w:id="1011" w:name="_Toc532567177"/>
      <w:bookmarkStart w:id="1012" w:name="_Toc33"/>
      <w:bookmarkStart w:id="1013" w:name="_Toc519164498"/>
      <w:bookmarkStart w:id="1014" w:name="_Toc13519"/>
      <w:bookmarkStart w:id="1015" w:name="_Toc25308"/>
      <w:bookmarkStart w:id="1016" w:name="_Toc502737260"/>
      <w:bookmarkStart w:id="1017" w:name="_Toc469512847"/>
      <w:bookmarkStart w:id="1018" w:name="_Toc32314"/>
      <w:r>
        <w:rPr>
          <w:rFonts w:hint="eastAsia" w:hAnsi="宋体" w:cs="宋体"/>
          <w:szCs w:val="21"/>
          <w:highlight w:val="none"/>
        </w:rPr>
        <w:t>采购人与成交供应商自成交通知书发出之日起三十日内，按磋商文件要求和成交供应商的响应文件承诺签订采购合同，但不得超出磋商文件和成交供应商的响应文件的范围、也不得再行订立背离合同实质性内容的其他协议。</w:t>
      </w:r>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p>
    <w:p>
      <w:pPr>
        <w:pStyle w:val="5"/>
        <w:numPr>
          <w:ilvl w:val="1"/>
          <w:numId w:val="2"/>
        </w:numPr>
        <w:tabs>
          <w:tab w:val="clear" w:pos="851"/>
        </w:tabs>
        <w:ind w:left="0" w:firstLine="425"/>
        <w:rPr>
          <w:rFonts w:hAnsi="宋体" w:cs="宋体"/>
          <w:szCs w:val="21"/>
          <w:highlight w:val="none"/>
        </w:rPr>
      </w:pPr>
      <w:bookmarkStart w:id="1019" w:name="_Toc469512848"/>
      <w:bookmarkStart w:id="1020" w:name="_Toc28382"/>
      <w:bookmarkStart w:id="1021" w:name="_Toc532567178"/>
      <w:bookmarkStart w:id="1022" w:name="_Toc1789"/>
      <w:bookmarkStart w:id="1023" w:name="_Toc20411"/>
      <w:bookmarkStart w:id="1024" w:name="_Toc519164499"/>
      <w:bookmarkStart w:id="1025" w:name="_Toc519164353"/>
      <w:bookmarkStart w:id="1026" w:name="_Toc497687547"/>
      <w:bookmarkStart w:id="1027" w:name="_Toc469512622"/>
      <w:bookmarkStart w:id="1028" w:name="_Toc3060"/>
      <w:bookmarkStart w:id="1029" w:name="_Toc497225660"/>
      <w:bookmarkStart w:id="1030" w:name="_Toc502737261"/>
      <w:bookmarkStart w:id="1031" w:name="_Toc1856"/>
      <w:bookmarkStart w:id="1032" w:name="_Toc26593"/>
      <w:bookmarkStart w:id="1033" w:name="_Toc526765985"/>
      <w:bookmarkStart w:id="1034" w:name="_Toc6660"/>
      <w:r>
        <w:rPr>
          <w:rFonts w:hint="eastAsia" w:hAnsi="宋体" w:cs="宋体"/>
          <w:szCs w:val="21"/>
          <w:highlight w:val="none"/>
        </w:rPr>
        <w:t>合同的履行</w:t>
      </w:r>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p>
    <w:p>
      <w:pPr>
        <w:pStyle w:val="5"/>
        <w:numPr>
          <w:ilvl w:val="2"/>
          <w:numId w:val="2"/>
        </w:numPr>
        <w:tabs>
          <w:tab w:val="clear" w:pos="851"/>
        </w:tabs>
        <w:ind w:left="0" w:firstLine="540"/>
        <w:rPr>
          <w:rFonts w:hAnsi="宋体" w:cs="宋体"/>
          <w:szCs w:val="21"/>
          <w:highlight w:val="none"/>
        </w:rPr>
      </w:pPr>
      <w:bookmarkStart w:id="1035" w:name="_Toc497225661"/>
      <w:bookmarkStart w:id="1036" w:name="_Toc519164354"/>
      <w:bookmarkStart w:id="1037" w:name="_Toc27976"/>
      <w:bookmarkStart w:id="1038" w:name="_Toc28105"/>
      <w:bookmarkStart w:id="1039" w:name="_Toc31669"/>
      <w:bookmarkStart w:id="1040" w:name="_Toc469512623"/>
      <w:bookmarkStart w:id="1041" w:name="_Toc519164500"/>
      <w:bookmarkStart w:id="1042" w:name="_Toc1204"/>
      <w:bookmarkStart w:id="1043" w:name="_Toc526765986"/>
      <w:bookmarkStart w:id="1044" w:name="_Toc17986"/>
      <w:bookmarkStart w:id="1045" w:name="_Toc502737262"/>
      <w:bookmarkStart w:id="1046" w:name="_Toc497687548"/>
      <w:bookmarkStart w:id="1047" w:name="_Toc11010"/>
      <w:bookmarkStart w:id="1048" w:name="_Toc469512849"/>
      <w:bookmarkStart w:id="1049" w:name="_Toc532567179"/>
      <w:bookmarkStart w:id="1050" w:name="_Toc19828"/>
      <w:r>
        <w:rPr>
          <w:rFonts w:hint="eastAsia" w:hAnsi="宋体" w:cs="宋体"/>
          <w:szCs w:val="21"/>
          <w:highlight w:val="none"/>
        </w:rPr>
        <w:t>采购合同订立后，合同各方不得擅自变更、中止或者终止合同。采购合同需要变更的，采购人应将有关合同变更内容，以书面形式报监督管理机关备案；因特殊情况需要中止或终止合同的，采购人应将中止或终止合同的理由以及相应措施，以书面形式报监督管理机关备案。</w:t>
      </w:r>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p>
    <w:p>
      <w:pPr>
        <w:pStyle w:val="5"/>
        <w:numPr>
          <w:ilvl w:val="2"/>
          <w:numId w:val="2"/>
        </w:numPr>
        <w:tabs>
          <w:tab w:val="clear" w:pos="851"/>
        </w:tabs>
        <w:ind w:left="0" w:firstLine="540"/>
        <w:rPr>
          <w:rFonts w:hAnsi="宋体" w:cs="宋体"/>
          <w:szCs w:val="21"/>
          <w:highlight w:val="none"/>
        </w:rPr>
      </w:pPr>
      <w:bookmarkStart w:id="1051" w:name="_Toc532567180"/>
      <w:bookmarkStart w:id="1052" w:name="_Toc526765987"/>
      <w:bookmarkStart w:id="1053" w:name="_Toc469512850"/>
      <w:bookmarkStart w:id="1054" w:name="_Toc9770"/>
      <w:bookmarkStart w:id="1055" w:name="_Toc519164501"/>
      <w:bookmarkStart w:id="1056" w:name="_Toc519164355"/>
      <w:bookmarkStart w:id="1057" w:name="_Toc11171"/>
      <w:bookmarkStart w:id="1058" w:name="_Toc19830"/>
      <w:bookmarkStart w:id="1059" w:name="_Toc497687549"/>
      <w:bookmarkStart w:id="1060" w:name="_Toc29566"/>
      <w:bookmarkStart w:id="1061" w:name="_Toc26051"/>
      <w:bookmarkStart w:id="1062" w:name="_Toc469512624"/>
      <w:bookmarkStart w:id="1063" w:name="_Toc497225662"/>
      <w:bookmarkStart w:id="1064" w:name="_Toc502737263"/>
      <w:bookmarkStart w:id="1065" w:name="_Toc22163"/>
      <w:bookmarkStart w:id="1066" w:name="_Toc24232"/>
      <w:r>
        <w:rPr>
          <w:rFonts w:hint="eastAsia" w:hAnsi="宋体" w:cs="宋体"/>
          <w:szCs w:val="21"/>
          <w:highlight w:val="none"/>
        </w:rPr>
        <w:t>采购合同履行中，采购人需追加与合同标的相同的货物、工程或者服务的，在不改变合同其他条款的前提下，可以与成交供应商签订补充合同，但所补充合同的采购金额不得超过原采购金额的10%，签订补充合同的必须按规定备案。</w:t>
      </w:r>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p>
    <w:p>
      <w:pPr>
        <w:pStyle w:val="4"/>
        <w:rPr>
          <w:rFonts w:ascii="宋体" w:hAnsi="宋体" w:cs="宋体"/>
          <w:highlight w:val="none"/>
        </w:rPr>
      </w:pPr>
    </w:p>
    <w:p>
      <w:pPr>
        <w:pStyle w:val="3"/>
        <w:numPr>
          <w:ilvl w:val="0"/>
          <w:numId w:val="2"/>
        </w:numPr>
        <w:ind w:left="567" w:hanging="27"/>
        <w:jc w:val="left"/>
        <w:rPr>
          <w:rFonts w:hAnsi="宋体" w:cs="宋体"/>
          <w:b/>
          <w:sz w:val="21"/>
          <w:szCs w:val="21"/>
          <w:highlight w:val="none"/>
        </w:rPr>
      </w:pPr>
      <w:bookmarkStart w:id="1067" w:name="_Toc497687550"/>
      <w:bookmarkStart w:id="1068" w:name="_Toc469512625"/>
      <w:bookmarkStart w:id="1069" w:name="_Toc469512851"/>
      <w:bookmarkStart w:id="1070" w:name="_Toc19458"/>
      <w:bookmarkStart w:id="1071" w:name="_Toc6136"/>
      <w:bookmarkStart w:id="1072" w:name="_Toc17730"/>
      <w:bookmarkStart w:id="1073" w:name="_Toc526765988"/>
      <w:bookmarkStart w:id="1074" w:name="_Toc17303"/>
      <w:bookmarkStart w:id="1075" w:name="_Toc532567181"/>
      <w:bookmarkStart w:id="1076" w:name="_Toc26431"/>
      <w:bookmarkStart w:id="1077" w:name="_Toc502737264"/>
      <w:bookmarkStart w:id="1078" w:name="_Toc24544"/>
      <w:bookmarkStart w:id="1079" w:name="_Toc519164356"/>
      <w:bookmarkStart w:id="1080" w:name="_Toc497225663"/>
      <w:bookmarkStart w:id="1081" w:name="_Toc519164502"/>
      <w:bookmarkStart w:id="1082" w:name="_Toc15196"/>
      <w:bookmarkStart w:id="1083" w:name="_Toc10422"/>
      <w:r>
        <w:rPr>
          <w:rFonts w:hint="eastAsia" w:hAnsi="宋体" w:cs="宋体"/>
          <w:b/>
          <w:sz w:val="21"/>
          <w:szCs w:val="21"/>
          <w:highlight w:val="none"/>
        </w:rPr>
        <w:t>响应文件</w:t>
      </w:r>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p>
    <w:p>
      <w:pPr>
        <w:pStyle w:val="5"/>
        <w:numPr>
          <w:ilvl w:val="1"/>
          <w:numId w:val="2"/>
        </w:numPr>
        <w:tabs>
          <w:tab w:val="clear" w:pos="851"/>
        </w:tabs>
        <w:ind w:left="0" w:firstLine="425"/>
        <w:rPr>
          <w:rFonts w:hAnsi="宋体" w:cs="宋体"/>
          <w:b/>
          <w:szCs w:val="21"/>
          <w:highlight w:val="none"/>
        </w:rPr>
      </w:pPr>
      <w:bookmarkStart w:id="1084" w:name="_Toc519164503"/>
      <w:bookmarkStart w:id="1085" w:name="_Toc497687551"/>
      <w:bookmarkStart w:id="1086" w:name="_Toc469512626"/>
      <w:bookmarkStart w:id="1087" w:name="_Toc526765989"/>
      <w:bookmarkStart w:id="1088" w:name="_Toc519164357"/>
      <w:bookmarkStart w:id="1089" w:name="_Toc24507"/>
      <w:bookmarkStart w:id="1090" w:name="_Toc8032"/>
      <w:bookmarkStart w:id="1091" w:name="_Toc502737265"/>
      <w:bookmarkStart w:id="1092" w:name="_Toc20579"/>
      <w:bookmarkStart w:id="1093" w:name="_Toc469512852"/>
      <w:bookmarkStart w:id="1094" w:name="_Toc29886"/>
      <w:bookmarkStart w:id="1095" w:name="_Toc15957"/>
      <w:bookmarkStart w:id="1096" w:name="_Toc8254"/>
      <w:bookmarkStart w:id="1097" w:name="_Toc532567182"/>
      <w:bookmarkStart w:id="1098" w:name="_Toc497225664"/>
      <w:bookmarkStart w:id="1099" w:name="_Toc4353"/>
      <w:bookmarkStart w:id="1100" w:name="_Toc98579001"/>
      <w:bookmarkStart w:id="1101" w:name="_Toc101775118"/>
      <w:bookmarkStart w:id="1102" w:name="_Toc98579059"/>
      <w:bookmarkStart w:id="1103" w:name="_Toc42394506"/>
      <w:bookmarkStart w:id="1104" w:name="_Toc101771365"/>
      <w:bookmarkStart w:id="1105" w:name="_Toc98579600"/>
      <w:bookmarkStart w:id="1106" w:name="_Toc134956127"/>
      <w:bookmarkStart w:id="1107" w:name="_Toc98580283"/>
      <w:bookmarkStart w:id="1108" w:name="_Toc50276147"/>
      <w:bookmarkStart w:id="1109" w:name="_Toc42394663"/>
      <w:bookmarkStart w:id="1110" w:name="_Toc41723925"/>
      <w:bookmarkStart w:id="1111" w:name="_Toc101843118"/>
      <w:bookmarkStart w:id="1112" w:name="_Toc41884695"/>
      <w:bookmarkStart w:id="1113" w:name="_Toc42313161"/>
      <w:bookmarkStart w:id="1114" w:name="_Toc101951251"/>
      <w:r>
        <w:rPr>
          <w:rFonts w:hint="eastAsia" w:hAnsi="宋体" w:cs="宋体"/>
          <w:b/>
          <w:szCs w:val="21"/>
          <w:highlight w:val="none"/>
        </w:rPr>
        <w:t>响应文件的构成</w:t>
      </w:r>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p>
    <w:p>
      <w:pPr>
        <w:pStyle w:val="5"/>
        <w:numPr>
          <w:ilvl w:val="2"/>
          <w:numId w:val="2"/>
        </w:numPr>
        <w:tabs>
          <w:tab w:val="clear" w:pos="851"/>
        </w:tabs>
        <w:ind w:left="0" w:firstLine="540"/>
        <w:rPr>
          <w:rFonts w:hAnsi="宋体" w:cs="宋体"/>
          <w:szCs w:val="21"/>
          <w:highlight w:val="none"/>
        </w:rPr>
      </w:pPr>
      <w:bookmarkStart w:id="1115" w:name="_Toc16623"/>
      <w:bookmarkStart w:id="1116" w:name="_Toc519164358"/>
      <w:bookmarkStart w:id="1117" w:name="_Toc469512627"/>
      <w:bookmarkStart w:id="1118" w:name="_Toc497225665"/>
      <w:bookmarkStart w:id="1119" w:name="_Toc940"/>
      <w:bookmarkStart w:id="1120" w:name="_Toc497687552"/>
      <w:bookmarkStart w:id="1121" w:name="_Toc532567183"/>
      <w:bookmarkStart w:id="1122" w:name="_Toc6361"/>
      <w:bookmarkStart w:id="1123" w:name="_Toc526765990"/>
      <w:bookmarkStart w:id="1124" w:name="_Toc3549"/>
      <w:bookmarkStart w:id="1125" w:name="_Toc8903"/>
      <w:bookmarkStart w:id="1126" w:name="_Toc502737266"/>
      <w:bookmarkStart w:id="1127" w:name="_Toc469512853"/>
      <w:bookmarkStart w:id="1128" w:name="_Toc519164504"/>
      <w:bookmarkStart w:id="1129" w:name="_Toc19571"/>
      <w:bookmarkStart w:id="1130" w:name="_Toc1649"/>
      <w:r>
        <w:rPr>
          <w:rFonts w:hint="eastAsia" w:hAnsi="宋体" w:cs="宋体"/>
          <w:szCs w:val="21"/>
          <w:highlight w:val="none"/>
        </w:rPr>
        <w:t>响应文件由商务文件、服务文件等构成。商务文件、服务文件须按照第五章的要求装订成册。</w:t>
      </w:r>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p>
    <w:p>
      <w:pPr>
        <w:pStyle w:val="5"/>
        <w:numPr>
          <w:ilvl w:val="2"/>
          <w:numId w:val="2"/>
        </w:numPr>
        <w:tabs>
          <w:tab w:val="clear" w:pos="851"/>
        </w:tabs>
        <w:ind w:left="0" w:firstLine="540"/>
        <w:rPr>
          <w:rFonts w:hAnsi="宋体" w:cs="宋体"/>
          <w:szCs w:val="21"/>
          <w:highlight w:val="none"/>
        </w:rPr>
      </w:pPr>
      <w:bookmarkStart w:id="1131" w:name="_Toc15835"/>
      <w:bookmarkStart w:id="1132" w:name="_Toc526765991"/>
      <w:bookmarkStart w:id="1133" w:name="_Toc519164359"/>
      <w:bookmarkStart w:id="1134" w:name="_Toc497687553"/>
      <w:bookmarkStart w:id="1135" w:name="_Toc10022"/>
      <w:bookmarkStart w:id="1136" w:name="_Toc469512854"/>
      <w:bookmarkStart w:id="1137" w:name="_Toc469512628"/>
      <w:bookmarkStart w:id="1138" w:name="_Toc502737267"/>
      <w:bookmarkStart w:id="1139" w:name="_Toc2461"/>
      <w:bookmarkStart w:id="1140" w:name="_Toc20370"/>
      <w:bookmarkStart w:id="1141" w:name="_Toc532567184"/>
      <w:bookmarkStart w:id="1142" w:name="_Toc497225666"/>
      <w:bookmarkStart w:id="1143" w:name="_Toc519164505"/>
      <w:bookmarkStart w:id="1144" w:name="_Toc21186"/>
      <w:bookmarkStart w:id="1145" w:name="_Toc32652"/>
      <w:bookmarkStart w:id="1146" w:name="_Toc22041"/>
      <w:r>
        <w:rPr>
          <w:rFonts w:hint="eastAsia" w:hAnsi="宋体" w:cs="宋体"/>
          <w:szCs w:val="21"/>
          <w:highlight w:val="none"/>
        </w:rPr>
        <w:t>响应文件应装订牢固不可拆卸（如：胶订），如因装订不牢固导致的任何损失由供应商承担。</w:t>
      </w:r>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p>
    <w:p>
      <w:pPr>
        <w:pStyle w:val="5"/>
        <w:numPr>
          <w:ilvl w:val="2"/>
          <w:numId w:val="2"/>
        </w:numPr>
        <w:tabs>
          <w:tab w:val="clear" w:pos="851"/>
        </w:tabs>
        <w:ind w:left="0" w:firstLine="540"/>
        <w:rPr>
          <w:rFonts w:hAnsi="宋体" w:cs="宋体"/>
          <w:szCs w:val="21"/>
          <w:highlight w:val="none"/>
        </w:rPr>
      </w:pPr>
      <w:bookmarkStart w:id="1147" w:name="_Toc26243"/>
      <w:bookmarkStart w:id="1148" w:name="_Toc519164360"/>
      <w:bookmarkStart w:id="1149" w:name="_Toc497225667"/>
      <w:bookmarkStart w:id="1150" w:name="_Toc12629"/>
      <w:bookmarkStart w:id="1151" w:name="_Toc532567185"/>
      <w:bookmarkStart w:id="1152" w:name="_Toc10345"/>
      <w:bookmarkStart w:id="1153" w:name="_Toc22735"/>
      <w:bookmarkStart w:id="1154" w:name="_Toc519164506"/>
      <w:bookmarkStart w:id="1155" w:name="_Toc469512629"/>
      <w:bookmarkStart w:id="1156" w:name="_Toc469512855"/>
      <w:bookmarkStart w:id="1157" w:name="_Toc497687554"/>
      <w:bookmarkStart w:id="1158" w:name="_Toc2970"/>
      <w:bookmarkStart w:id="1159" w:name="_Toc526765992"/>
      <w:bookmarkStart w:id="1160" w:name="_Toc29743"/>
      <w:bookmarkStart w:id="1161" w:name="_Toc502737268"/>
      <w:bookmarkStart w:id="1162" w:name="_Toc26212"/>
      <w:r>
        <w:rPr>
          <w:rFonts w:hint="eastAsia" w:hAnsi="宋体" w:cs="宋体"/>
          <w:szCs w:val="21"/>
          <w:highlight w:val="none"/>
        </w:rPr>
        <w:t>响应文件数量：</w:t>
      </w:r>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p>
    <w:p>
      <w:pPr>
        <w:pStyle w:val="5"/>
        <w:tabs>
          <w:tab w:val="clear" w:pos="851"/>
        </w:tabs>
        <w:ind w:firstLine="422" w:firstLineChars="200"/>
        <w:rPr>
          <w:rFonts w:hAnsi="宋体" w:cs="宋体"/>
          <w:b/>
          <w:bCs/>
          <w:szCs w:val="21"/>
          <w:highlight w:val="none"/>
        </w:rPr>
      </w:pPr>
      <w:bookmarkStart w:id="1163" w:name="_Toc9352"/>
      <w:bookmarkStart w:id="1164" w:name="_Toc26689"/>
      <w:bookmarkStart w:id="1165" w:name="_Toc13950"/>
      <w:bookmarkStart w:id="1166" w:name="_Toc18991"/>
      <w:r>
        <w:rPr>
          <w:rFonts w:hint="eastAsia" w:hAnsi="宋体" w:cs="宋体"/>
          <w:b/>
          <w:bCs/>
          <w:szCs w:val="21"/>
          <w:highlight w:val="none"/>
        </w:rPr>
        <w:t>纸质版响应文件：正本1份、副本3份。</w:t>
      </w:r>
      <w:bookmarkEnd w:id="1163"/>
      <w:bookmarkEnd w:id="1164"/>
      <w:bookmarkEnd w:id="1165"/>
      <w:bookmarkEnd w:id="1166"/>
    </w:p>
    <w:p>
      <w:pPr>
        <w:pStyle w:val="5"/>
        <w:tabs>
          <w:tab w:val="clear" w:pos="851"/>
        </w:tabs>
        <w:ind w:firstLine="422" w:firstLineChars="200"/>
        <w:rPr>
          <w:rFonts w:hAnsi="宋体" w:cs="宋体"/>
          <w:b/>
          <w:bCs/>
          <w:szCs w:val="21"/>
          <w:highlight w:val="none"/>
        </w:rPr>
      </w:pPr>
      <w:bookmarkStart w:id="1167" w:name="_Toc6098"/>
      <w:bookmarkStart w:id="1168" w:name="_Toc27244"/>
      <w:bookmarkStart w:id="1169" w:name="_Toc27090"/>
      <w:bookmarkStart w:id="1170" w:name="_Toc27006"/>
      <w:r>
        <w:rPr>
          <w:rFonts w:hint="eastAsia" w:hAnsi="宋体" w:cs="宋体"/>
          <w:b/>
          <w:bCs/>
          <w:szCs w:val="21"/>
          <w:highlight w:val="none"/>
        </w:rPr>
        <w:t>电子版响应文件：响应文件正本PDF扫描电子版（需签字盖章）1份。（电子版必须以USB闪存盘或光盘保存，不留密码，无病毒，不压缩，用信封密封后随响应文件递交）。</w:t>
      </w:r>
      <w:bookmarkEnd w:id="1167"/>
      <w:bookmarkEnd w:id="1168"/>
      <w:bookmarkEnd w:id="1169"/>
      <w:bookmarkEnd w:id="1170"/>
    </w:p>
    <w:p>
      <w:pPr>
        <w:pStyle w:val="5"/>
        <w:numPr>
          <w:ilvl w:val="2"/>
          <w:numId w:val="2"/>
        </w:numPr>
        <w:tabs>
          <w:tab w:val="clear" w:pos="851"/>
        </w:tabs>
        <w:ind w:left="0" w:firstLine="540"/>
        <w:rPr>
          <w:rFonts w:hAnsi="宋体" w:cs="宋体"/>
          <w:szCs w:val="21"/>
          <w:highlight w:val="none"/>
        </w:rPr>
      </w:pPr>
      <w:bookmarkStart w:id="1171" w:name="_Toc532567186"/>
      <w:bookmarkStart w:id="1172" w:name="_Toc12017"/>
      <w:bookmarkStart w:id="1173" w:name="_Toc497687555"/>
      <w:bookmarkStart w:id="1174" w:name="_Toc502737269"/>
      <w:bookmarkStart w:id="1175" w:name="_Toc13785"/>
      <w:bookmarkStart w:id="1176" w:name="_Toc519164361"/>
      <w:bookmarkStart w:id="1177" w:name="_Toc19851"/>
      <w:bookmarkStart w:id="1178" w:name="_Toc3036"/>
      <w:bookmarkStart w:id="1179" w:name="_Toc469512630"/>
      <w:bookmarkStart w:id="1180" w:name="_Toc6759"/>
      <w:bookmarkStart w:id="1181" w:name="_Toc469512856"/>
      <w:bookmarkStart w:id="1182" w:name="_Toc5179"/>
      <w:bookmarkStart w:id="1183" w:name="_Toc497225668"/>
      <w:bookmarkStart w:id="1184" w:name="_Toc519164507"/>
      <w:bookmarkStart w:id="1185" w:name="_Toc526765993"/>
      <w:bookmarkStart w:id="1186" w:name="_Toc20846"/>
      <w:r>
        <w:rPr>
          <w:rFonts w:hint="eastAsia" w:hAnsi="宋体" w:cs="宋体"/>
          <w:szCs w:val="21"/>
          <w:highlight w:val="none"/>
        </w:rPr>
        <w:t>所有响应文件（除特殊规格的图纸等外）应按A4规格制作。</w:t>
      </w:r>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p>
    <w:p>
      <w:pPr>
        <w:pStyle w:val="5"/>
        <w:numPr>
          <w:ilvl w:val="1"/>
          <w:numId w:val="2"/>
        </w:numPr>
        <w:tabs>
          <w:tab w:val="clear" w:pos="851"/>
        </w:tabs>
        <w:ind w:left="0" w:firstLine="425"/>
        <w:rPr>
          <w:rFonts w:hAnsi="宋体" w:cs="宋体"/>
          <w:b/>
          <w:szCs w:val="21"/>
          <w:highlight w:val="none"/>
        </w:rPr>
      </w:pPr>
      <w:bookmarkStart w:id="1187" w:name="_Toc519164362"/>
      <w:bookmarkStart w:id="1188" w:name="_Toc10582"/>
      <w:bookmarkStart w:id="1189" w:name="_Toc26923"/>
      <w:bookmarkStart w:id="1190" w:name="_Toc497225669"/>
      <w:bookmarkStart w:id="1191" w:name="_Toc519164508"/>
      <w:bookmarkStart w:id="1192" w:name="_Toc13630"/>
      <w:bookmarkStart w:id="1193" w:name="_Toc27769"/>
      <w:bookmarkStart w:id="1194" w:name="_Toc502737270"/>
      <w:bookmarkStart w:id="1195" w:name="_Toc532567187"/>
      <w:bookmarkStart w:id="1196" w:name="_Toc17256"/>
      <w:bookmarkStart w:id="1197" w:name="_Toc27126"/>
      <w:bookmarkStart w:id="1198" w:name="_Toc497687556"/>
      <w:bookmarkStart w:id="1199" w:name="_Toc526765994"/>
      <w:bookmarkStart w:id="1200" w:name="_Toc469512857"/>
      <w:bookmarkStart w:id="1201" w:name="_Toc469512631"/>
      <w:bookmarkStart w:id="1202" w:name="_Toc5686"/>
      <w:r>
        <w:rPr>
          <w:rFonts w:hint="eastAsia" w:hAnsi="宋体" w:cs="宋体"/>
          <w:b/>
          <w:szCs w:val="21"/>
          <w:highlight w:val="none"/>
        </w:rPr>
        <w:t>响应文件的编写</w:t>
      </w:r>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p>
    <w:p>
      <w:pPr>
        <w:pStyle w:val="5"/>
        <w:numPr>
          <w:ilvl w:val="2"/>
          <w:numId w:val="2"/>
        </w:numPr>
        <w:tabs>
          <w:tab w:val="left" w:pos="900"/>
          <w:tab w:val="clear" w:pos="851"/>
        </w:tabs>
        <w:ind w:left="0" w:firstLine="540"/>
        <w:rPr>
          <w:rFonts w:hAnsi="宋体" w:cs="宋体"/>
          <w:szCs w:val="21"/>
          <w:highlight w:val="none"/>
        </w:rPr>
      </w:pPr>
      <w:bookmarkStart w:id="1203" w:name="_Toc519164509"/>
      <w:bookmarkStart w:id="1204" w:name="_Toc15329"/>
      <w:bookmarkStart w:id="1205" w:name="_Toc19997"/>
      <w:bookmarkStart w:id="1206" w:name="_Toc469512858"/>
      <w:bookmarkStart w:id="1207" w:name="_Toc4826"/>
      <w:bookmarkStart w:id="1208" w:name="_Toc502737271"/>
      <w:bookmarkStart w:id="1209" w:name="_Toc469512632"/>
      <w:bookmarkStart w:id="1210" w:name="_Toc532567188"/>
      <w:bookmarkStart w:id="1211" w:name="_Toc526765995"/>
      <w:bookmarkStart w:id="1212" w:name="_Toc4243"/>
      <w:bookmarkStart w:id="1213" w:name="_Toc497225670"/>
      <w:bookmarkStart w:id="1214" w:name="_Toc4210"/>
      <w:bookmarkStart w:id="1215" w:name="_Toc519164363"/>
      <w:bookmarkStart w:id="1216" w:name="_Toc5411"/>
      <w:bookmarkStart w:id="1217" w:name="_Toc497687557"/>
      <w:bookmarkStart w:id="1218" w:name="_Toc10122"/>
      <w:r>
        <w:rPr>
          <w:rFonts w:hint="eastAsia" w:hAnsi="宋体" w:cs="宋体"/>
          <w:szCs w:val="21"/>
          <w:highlight w:val="none"/>
        </w:rPr>
        <w:t>供应商应按磋商文件的规定及附件要求的内容和格式完整地填写和提供资料。</w:t>
      </w:r>
      <w:r>
        <w:rPr>
          <w:rStyle w:val="155"/>
          <w:rFonts w:hint="eastAsia" w:hAnsi="宋体" w:cs="宋体"/>
          <w:highlight w:val="none"/>
        </w:rPr>
        <w:t>供应商必须对响应文件所提供的全部资料的真实性承担法律责任，并无条件接受</w:t>
      </w:r>
      <w:r>
        <w:rPr>
          <w:rFonts w:hint="eastAsia" w:hAnsi="宋体" w:cs="宋体"/>
          <w:szCs w:val="21"/>
          <w:highlight w:val="none"/>
        </w:rPr>
        <w:t>采购人</w:t>
      </w:r>
      <w:r>
        <w:rPr>
          <w:rStyle w:val="155"/>
          <w:rFonts w:hint="eastAsia" w:hAnsi="宋体" w:cs="宋体"/>
          <w:highlight w:val="none"/>
        </w:rPr>
        <w:t>和监督管理部门对其中任何资料进行核实（核对原件）的要求</w:t>
      </w:r>
      <w:r>
        <w:rPr>
          <w:rFonts w:hint="eastAsia" w:hAnsi="宋体" w:cs="宋体"/>
          <w:szCs w:val="21"/>
          <w:highlight w:val="none"/>
        </w:rPr>
        <w:t>。采购人</w:t>
      </w:r>
      <w:r>
        <w:rPr>
          <w:rStyle w:val="155"/>
          <w:rFonts w:hint="eastAsia" w:hAnsi="宋体" w:cs="宋体"/>
          <w:highlight w:val="none"/>
        </w:rPr>
        <w:t>核对发现有不一致或供应商无正当理由不按时提供原件的，报监督管理部门处理。</w:t>
      </w:r>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p>
    <w:p>
      <w:pPr>
        <w:pStyle w:val="5"/>
        <w:numPr>
          <w:ilvl w:val="2"/>
          <w:numId w:val="2"/>
        </w:numPr>
        <w:tabs>
          <w:tab w:val="left" w:pos="900"/>
          <w:tab w:val="clear" w:pos="851"/>
        </w:tabs>
        <w:ind w:left="0" w:firstLine="540"/>
        <w:rPr>
          <w:rFonts w:hAnsi="宋体" w:cs="宋体"/>
          <w:szCs w:val="21"/>
          <w:highlight w:val="none"/>
        </w:rPr>
      </w:pPr>
      <w:bookmarkStart w:id="1219" w:name="_Toc425"/>
      <w:bookmarkStart w:id="1220" w:name="_Toc519164364"/>
      <w:bookmarkStart w:id="1221" w:name="_Toc502737272"/>
      <w:bookmarkStart w:id="1222" w:name="_Toc497687558"/>
      <w:bookmarkStart w:id="1223" w:name="_Toc2133"/>
      <w:bookmarkStart w:id="1224" w:name="_Toc497225671"/>
      <w:bookmarkStart w:id="1225" w:name="_Toc5986"/>
      <w:bookmarkStart w:id="1226" w:name="_Toc469512633"/>
      <w:bookmarkStart w:id="1227" w:name="_Toc532567189"/>
      <w:bookmarkStart w:id="1228" w:name="_Toc22650"/>
      <w:bookmarkStart w:id="1229" w:name="_Toc526765996"/>
      <w:bookmarkStart w:id="1230" w:name="_Toc19231"/>
      <w:bookmarkStart w:id="1231" w:name="_Toc28880"/>
      <w:bookmarkStart w:id="1232" w:name="_Toc469512859"/>
      <w:bookmarkStart w:id="1233" w:name="_Toc519164510"/>
      <w:bookmarkStart w:id="1234" w:name="_Toc5175"/>
      <w:r>
        <w:rPr>
          <w:rFonts w:hint="eastAsia" w:hAnsi="宋体" w:cs="宋体"/>
          <w:szCs w:val="21"/>
          <w:highlight w:val="none"/>
        </w:rPr>
        <w:t>磋商文件中，凡加注“★”的地方均为须实质响应条款，供应商若有一项加注“★”的条款未响应或不满足，将按无效响应处理。</w:t>
      </w:r>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p>
    <w:p>
      <w:pPr>
        <w:pStyle w:val="5"/>
        <w:numPr>
          <w:ilvl w:val="2"/>
          <w:numId w:val="2"/>
        </w:numPr>
        <w:tabs>
          <w:tab w:val="left" w:pos="900"/>
          <w:tab w:val="clear" w:pos="851"/>
        </w:tabs>
        <w:ind w:left="0" w:firstLine="540"/>
        <w:rPr>
          <w:rFonts w:hAnsi="宋体" w:cs="宋体"/>
          <w:szCs w:val="21"/>
          <w:highlight w:val="none"/>
        </w:rPr>
      </w:pPr>
      <w:bookmarkStart w:id="1235" w:name="_Toc497225672"/>
      <w:bookmarkStart w:id="1236" w:name="_Toc829"/>
      <w:bookmarkStart w:id="1237" w:name="_Toc10535"/>
      <w:bookmarkStart w:id="1238" w:name="_Toc519164511"/>
      <w:bookmarkStart w:id="1239" w:name="_Toc7233"/>
      <w:bookmarkStart w:id="1240" w:name="_Toc519164365"/>
      <w:bookmarkStart w:id="1241" w:name="_Toc469512860"/>
      <w:bookmarkStart w:id="1242" w:name="_Toc502737273"/>
      <w:bookmarkStart w:id="1243" w:name="_Toc497687559"/>
      <w:bookmarkStart w:id="1244" w:name="_Toc32548"/>
      <w:bookmarkStart w:id="1245" w:name="_Toc532567190"/>
      <w:bookmarkStart w:id="1246" w:name="_Toc12640"/>
      <w:bookmarkStart w:id="1247" w:name="_Toc469512634"/>
      <w:bookmarkStart w:id="1248" w:name="_Toc526765997"/>
      <w:bookmarkStart w:id="1249" w:name="_Toc31951"/>
      <w:bookmarkStart w:id="1250" w:name="_Toc27934"/>
      <w:r>
        <w:rPr>
          <w:rFonts w:hint="eastAsia" w:hAnsi="宋体" w:cs="宋体"/>
          <w:szCs w:val="21"/>
          <w:highlight w:val="none"/>
        </w:rPr>
        <w:t>除在磋商文件另有规定外，计量单位应使用中华人民共和国法定计量单位。</w:t>
      </w:r>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p>
    <w:p>
      <w:pPr>
        <w:pStyle w:val="5"/>
        <w:numPr>
          <w:ilvl w:val="2"/>
          <w:numId w:val="2"/>
        </w:numPr>
        <w:tabs>
          <w:tab w:val="left" w:pos="900"/>
          <w:tab w:val="clear" w:pos="851"/>
        </w:tabs>
        <w:ind w:left="0" w:firstLine="540"/>
        <w:rPr>
          <w:rFonts w:hAnsi="宋体" w:cs="宋体"/>
          <w:szCs w:val="21"/>
          <w:highlight w:val="none"/>
        </w:rPr>
      </w:pPr>
      <w:bookmarkStart w:id="1251" w:name="_Toc519164366"/>
      <w:bookmarkStart w:id="1252" w:name="_Toc27710"/>
      <w:bookmarkStart w:id="1253" w:name="_Toc519164512"/>
      <w:bookmarkStart w:id="1254" w:name="_Toc19090"/>
      <w:bookmarkStart w:id="1255" w:name="_Toc497225673"/>
      <w:bookmarkStart w:id="1256" w:name="_Toc29514"/>
      <w:bookmarkStart w:id="1257" w:name="_Toc5671"/>
      <w:bookmarkStart w:id="1258" w:name="_Toc469512635"/>
      <w:bookmarkStart w:id="1259" w:name="_Toc18042"/>
      <w:bookmarkStart w:id="1260" w:name="_Toc532567191"/>
      <w:bookmarkStart w:id="1261" w:name="_Toc526765998"/>
      <w:bookmarkStart w:id="1262" w:name="_Toc19498"/>
      <w:bookmarkStart w:id="1263" w:name="_Toc469512861"/>
      <w:bookmarkStart w:id="1264" w:name="_Toc497687560"/>
      <w:bookmarkStart w:id="1265" w:name="_Toc502737274"/>
      <w:bookmarkStart w:id="1266" w:name="_Toc17105"/>
      <w:r>
        <w:rPr>
          <w:rFonts w:hint="eastAsia" w:hAnsi="宋体" w:cs="宋体"/>
          <w:szCs w:val="21"/>
          <w:highlight w:val="none"/>
        </w:rPr>
        <w:t>响应文件的编写要求</w:t>
      </w:r>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p>
    <w:p>
      <w:pPr>
        <w:pStyle w:val="5"/>
        <w:numPr>
          <w:ilvl w:val="2"/>
          <w:numId w:val="3"/>
        </w:numPr>
        <w:tabs>
          <w:tab w:val="left" w:pos="900"/>
          <w:tab w:val="clear" w:pos="851"/>
        </w:tabs>
        <w:rPr>
          <w:rFonts w:hAnsi="宋体" w:cs="宋体"/>
          <w:szCs w:val="21"/>
          <w:highlight w:val="none"/>
        </w:rPr>
      </w:pPr>
      <w:bookmarkStart w:id="1267" w:name="_Toc497687561"/>
      <w:bookmarkStart w:id="1268" w:name="_Toc24508"/>
      <w:bookmarkStart w:id="1269" w:name="_Toc497225674"/>
      <w:bookmarkStart w:id="1270" w:name="_Toc17336"/>
      <w:bookmarkStart w:id="1271" w:name="_Toc469512862"/>
      <w:bookmarkStart w:id="1272" w:name="_Toc32172"/>
      <w:bookmarkStart w:id="1273" w:name="_Toc502737275"/>
      <w:bookmarkStart w:id="1274" w:name="_Toc22099"/>
      <w:bookmarkStart w:id="1275" w:name="_Toc22431"/>
      <w:bookmarkStart w:id="1276" w:name="_Toc519164367"/>
      <w:bookmarkStart w:id="1277" w:name="_Toc469512636"/>
      <w:bookmarkStart w:id="1278" w:name="_Toc532567192"/>
      <w:bookmarkStart w:id="1279" w:name="_Toc526765999"/>
      <w:bookmarkStart w:id="1280" w:name="_Toc3893"/>
      <w:bookmarkStart w:id="1281" w:name="_Toc519164513"/>
      <w:bookmarkStart w:id="1282" w:name="_Toc10482"/>
      <w:r>
        <w:rPr>
          <w:rFonts w:hint="eastAsia" w:hAnsi="宋体" w:cs="宋体"/>
          <w:szCs w:val="21"/>
          <w:highlight w:val="none"/>
        </w:rPr>
        <w:t>供应商必须按磋商文件指定的格式填写。</w:t>
      </w:r>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p>
    <w:p>
      <w:pPr>
        <w:pStyle w:val="5"/>
        <w:numPr>
          <w:ilvl w:val="2"/>
          <w:numId w:val="2"/>
        </w:numPr>
        <w:tabs>
          <w:tab w:val="left" w:pos="900"/>
          <w:tab w:val="clear" w:pos="851"/>
        </w:tabs>
        <w:ind w:left="0" w:firstLine="540"/>
        <w:rPr>
          <w:rFonts w:hAnsi="宋体" w:cs="宋体"/>
          <w:szCs w:val="21"/>
          <w:highlight w:val="none"/>
        </w:rPr>
      </w:pPr>
      <w:bookmarkStart w:id="1283" w:name="_Toc519164372"/>
      <w:bookmarkStart w:id="1284" w:name="_Toc27587"/>
      <w:bookmarkStart w:id="1285" w:name="_Toc519164518"/>
      <w:bookmarkStart w:id="1286" w:name="_Toc26224"/>
      <w:bookmarkStart w:id="1287" w:name="_Toc27932"/>
      <w:bookmarkStart w:id="1288" w:name="_Toc502737280"/>
      <w:bookmarkStart w:id="1289" w:name="_Toc497225679"/>
      <w:bookmarkStart w:id="1290" w:name="_Toc469512867"/>
      <w:bookmarkStart w:id="1291" w:name="_Toc532567197"/>
      <w:bookmarkStart w:id="1292" w:name="_Toc22270"/>
      <w:bookmarkStart w:id="1293" w:name="_Toc14901"/>
      <w:bookmarkStart w:id="1294" w:name="_Toc526766004"/>
      <w:bookmarkStart w:id="1295" w:name="_Toc12438"/>
      <w:bookmarkStart w:id="1296" w:name="_Toc469512641"/>
      <w:bookmarkStart w:id="1297" w:name="_Toc497687566"/>
      <w:bookmarkStart w:id="1298" w:name="_Toc26512"/>
      <w:r>
        <w:rPr>
          <w:rFonts w:hint="eastAsia" w:hAnsi="宋体" w:cs="宋体"/>
          <w:szCs w:val="21"/>
          <w:highlight w:val="none"/>
        </w:rPr>
        <w:t>响应文件以及供应商与采购人就有关磋商的往来函电均应使用中文。供应商提交的支持性文件和印制的文件可以用另一种语言，但相应内容应翻译成中文，在解释响应文件时以中文文本为准。</w:t>
      </w:r>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p>
    <w:p>
      <w:pPr>
        <w:pStyle w:val="5"/>
        <w:numPr>
          <w:ilvl w:val="2"/>
          <w:numId w:val="2"/>
        </w:numPr>
        <w:tabs>
          <w:tab w:val="clear" w:pos="851"/>
        </w:tabs>
        <w:ind w:left="0" w:firstLine="540"/>
        <w:rPr>
          <w:rFonts w:hAnsi="宋体" w:cs="宋体"/>
          <w:szCs w:val="21"/>
          <w:highlight w:val="none"/>
        </w:rPr>
      </w:pPr>
      <w:r>
        <w:rPr>
          <w:rFonts w:hint="eastAsia" w:hAnsi="宋体" w:cs="宋体"/>
          <w:szCs w:val="21"/>
          <w:highlight w:val="none"/>
        </w:rPr>
        <w:t xml:space="preserve"> </w:t>
      </w:r>
      <w:bookmarkStart w:id="1299" w:name="_Toc502737281"/>
      <w:bookmarkStart w:id="1300" w:name="_Toc26861"/>
      <w:bookmarkStart w:id="1301" w:name="_Toc20163"/>
      <w:bookmarkStart w:id="1302" w:name="_Toc497687567"/>
      <w:bookmarkStart w:id="1303" w:name="_Toc497225680"/>
      <w:bookmarkStart w:id="1304" w:name="_Toc532567198"/>
      <w:bookmarkStart w:id="1305" w:name="_Toc526766005"/>
      <w:bookmarkStart w:id="1306" w:name="_Toc31087"/>
      <w:bookmarkStart w:id="1307" w:name="_Toc519164519"/>
      <w:bookmarkStart w:id="1308" w:name="_Toc469512868"/>
      <w:bookmarkStart w:id="1309" w:name="_Toc25662"/>
      <w:bookmarkStart w:id="1310" w:name="_Toc17990"/>
      <w:bookmarkStart w:id="1311" w:name="_Toc3511"/>
      <w:bookmarkStart w:id="1312" w:name="_Toc469512642"/>
      <w:bookmarkStart w:id="1313" w:name="_Toc519164373"/>
      <w:bookmarkStart w:id="1314" w:name="_Toc9376"/>
      <w:r>
        <w:rPr>
          <w:rFonts w:hint="eastAsia" w:hAnsi="宋体" w:cs="宋体"/>
          <w:szCs w:val="21"/>
          <w:highlight w:val="none"/>
        </w:rPr>
        <w:t>响应文件须编页码。</w:t>
      </w:r>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p>
    <w:p>
      <w:pPr>
        <w:pStyle w:val="5"/>
        <w:numPr>
          <w:ilvl w:val="1"/>
          <w:numId w:val="2"/>
        </w:numPr>
        <w:tabs>
          <w:tab w:val="clear" w:pos="851"/>
        </w:tabs>
        <w:spacing w:before="240" w:beforeLines="100"/>
        <w:ind w:left="1134" w:hanging="709"/>
        <w:rPr>
          <w:rFonts w:hAnsi="宋体" w:cs="宋体"/>
          <w:b/>
          <w:szCs w:val="21"/>
          <w:highlight w:val="none"/>
        </w:rPr>
      </w:pPr>
      <w:bookmarkStart w:id="1315" w:name="_Toc526766006"/>
      <w:bookmarkStart w:id="1316" w:name="_Toc532567199"/>
      <w:bookmarkStart w:id="1317" w:name="_Toc926"/>
      <w:bookmarkStart w:id="1318" w:name="_Toc1465"/>
      <w:bookmarkStart w:id="1319" w:name="_Toc497225681"/>
      <w:bookmarkStart w:id="1320" w:name="_Toc21282"/>
      <w:bookmarkStart w:id="1321" w:name="_Toc10664"/>
      <w:bookmarkStart w:id="1322" w:name="_Toc519164374"/>
      <w:bookmarkStart w:id="1323" w:name="_Toc519164520"/>
      <w:bookmarkStart w:id="1324" w:name="_Toc10381"/>
      <w:bookmarkStart w:id="1325" w:name="_Toc14628"/>
      <w:bookmarkStart w:id="1326" w:name="_Toc502737282"/>
      <w:bookmarkStart w:id="1327" w:name="_Toc469512869"/>
      <w:bookmarkStart w:id="1328" w:name="_Toc497687568"/>
      <w:bookmarkStart w:id="1329" w:name="_Toc469512643"/>
      <w:bookmarkStart w:id="1330" w:name="_Toc24292"/>
      <w:r>
        <w:rPr>
          <w:rFonts w:hint="eastAsia" w:hAnsi="宋体" w:cs="宋体"/>
          <w:b/>
          <w:szCs w:val="21"/>
          <w:highlight w:val="none"/>
        </w:rPr>
        <w:t>响应文件的签署形式</w:t>
      </w:r>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p>
    <w:p>
      <w:pPr>
        <w:pStyle w:val="5"/>
        <w:numPr>
          <w:ilvl w:val="2"/>
          <w:numId w:val="2"/>
        </w:numPr>
        <w:tabs>
          <w:tab w:val="clear" w:pos="851"/>
        </w:tabs>
        <w:ind w:left="0" w:firstLine="540"/>
        <w:rPr>
          <w:rFonts w:hAnsi="宋体" w:cs="宋体"/>
          <w:szCs w:val="21"/>
          <w:highlight w:val="none"/>
        </w:rPr>
      </w:pPr>
      <w:bookmarkStart w:id="1331" w:name="_Toc502737283"/>
      <w:bookmarkStart w:id="1332" w:name="_Toc469512870"/>
      <w:bookmarkStart w:id="1333" w:name="_Toc19002"/>
      <w:bookmarkStart w:id="1334" w:name="_Toc826"/>
      <w:bookmarkStart w:id="1335" w:name="_Toc497687569"/>
      <w:bookmarkStart w:id="1336" w:name="_Toc519164521"/>
      <w:bookmarkStart w:id="1337" w:name="_Toc532567200"/>
      <w:bookmarkStart w:id="1338" w:name="_Toc469512644"/>
      <w:bookmarkStart w:id="1339" w:name="_Toc14651"/>
      <w:bookmarkStart w:id="1340" w:name="_Toc526766007"/>
      <w:bookmarkStart w:id="1341" w:name="_Toc28128"/>
      <w:bookmarkStart w:id="1342" w:name="_Toc497225682"/>
      <w:bookmarkStart w:id="1343" w:name="_Toc2375"/>
      <w:bookmarkStart w:id="1344" w:name="_Toc1910"/>
      <w:bookmarkStart w:id="1345" w:name="_Toc519164375"/>
      <w:bookmarkStart w:id="1346" w:name="_Toc1837"/>
      <w:r>
        <w:rPr>
          <w:rFonts w:hint="eastAsia" w:hAnsi="宋体" w:cs="宋体"/>
          <w:szCs w:val="21"/>
          <w:highlight w:val="none"/>
        </w:rPr>
        <w:t>响应文件正本必须打印，并按要求签字、盖章，副本可以是</w:t>
      </w:r>
      <w:r>
        <w:rPr>
          <w:rFonts w:hint="eastAsia" w:hAnsi="宋体" w:cs="宋体"/>
          <w:bCs/>
          <w:szCs w:val="21"/>
          <w:highlight w:val="none"/>
        </w:rPr>
        <w:t>响应文件正本复印,</w:t>
      </w:r>
      <w:r>
        <w:rPr>
          <w:rFonts w:hint="eastAsia" w:hAnsi="宋体" w:cs="宋体"/>
          <w:szCs w:val="21"/>
          <w:highlight w:val="none"/>
        </w:rPr>
        <w:t>正本与副本不符，以正本为准。</w:t>
      </w:r>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p>
    <w:p>
      <w:pPr>
        <w:pStyle w:val="5"/>
        <w:numPr>
          <w:ilvl w:val="2"/>
          <w:numId w:val="2"/>
        </w:numPr>
        <w:tabs>
          <w:tab w:val="clear" w:pos="851"/>
        </w:tabs>
        <w:ind w:left="0" w:firstLine="540"/>
        <w:rPr>
          <w:rFonts w:hAnsi="宋体" w:cs="宋体"/>
          <w:szCs w:val="21"/>
          <w:highlight w:val="none"/>
        </w:rPr>
      </w:pPr>
      <w:bookmarkStart w:id="1347" w:name="_Toc532567201"/>
      <w:bookmarkStart w:id="1348" w:name="_Toc23007"/>
      <w:bookmarkStart w:id="1349" w:name="_Toc497225683"/>
      <w:bookmarkStart w:id="1350" w:name="_Toc502737284"/>
      <w:bookmarkStart w:id="1351" w:name="_Toc469512645"/>
      <w:bookmarkStart w:id="1352" w:name="_Toc469512871"/>
      <w:bookmarkStart w:id="1353" w:name="_Toc15674"/>
      <w:bookmarkStart w:id="1354" w:name="_Toc28688"/>
      <w:bookmarkStart w:id="1355" w:name="_Toc497687570"/>
      <w:bookmarkStart w:id="1356" w:name="_Toc519164522"/>
      <w:bookmarkStart w:id="1357" w:name="_Toc7984"/>
      <w:bookmarkStart w:id="1358" w:name="_Toc519164376"/>
      <w:bookmarkStart w:id="1359" w:name="_Toc5614"/>
      <w:bookmarkStart w:id="1360" w:name="_Toc526766008"/>
      <w:bookmarkStart w:id="1361" w:name="_Toc23442"/>
      <w:bookmarkStart w:id="1362" w:name="_Toc18118"/>
      <w:r>
        <w:rPr>
          <w:rFonts w:hint="eastAsia" w:hAnsi="宋体" w:cs="宋体"/>
          <w:szCs w:val="21"/>
          <w:highlight w:val="none"/>
        </w:rPr>
        <w:t>响应文件一般不得涂改和增删，如有涂改和增删之处，必须加盖公章或由法定代表人签字或授权代表签字。</w:t>
      </w:r>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p>
    <w:p>
      <w:pPr>
        <w:pStyle w:val="5"/>
        <w:numPr>
          <w:ilvl w:val="1"/>
          <w:numId w:val="2"/>
        </w:numPr>
        <w:tabs>
          <w:tab w:val="clear" w:pos="851"/>
        </w:tabs>
        <w:spacing w:before="240" w:beforeLines="100"/>
        <w:ind w:left="1134" w:hanging="709"/>
        <w:rPr>
          <w:rFonts w:hAnsi="宋体" w:cs="宋体"/>
          <w:b/>
          <w:szCs w:val="21"/>
          <w:highlight w:val="none"/>
        </w:rPr>
      </w:pPr>
      <w:bookmarkStart w:id="1363" w:name="_Toc10659"/>
      <w:bookmarkStart w:id="1364" w:name="_Toc519164523"/>
      <w:bookmarkStart w:id="1365" w:name="_Toc497225684"/>
      <w:bookmarkStart w:id="1366" w:name="_Toc532567202"/>
      <w:bookmarkStart w:id="1367" w:name="_Toc469512646"/>
      <w:bookmarkStart w:id="1368" w:name="_Toc101843119"/>
      <w:bookmarkStart w:id="1369" w:name="_Toc497687571"/>
      <w:bookmarkStart w:id="1370" w:name="_Toc502737285"/>
      <w:bookmarkStart w:id="1371" w:name="_Toc101771366"/>
      <w:bookmarkStart w:id="1372" w:name="_Toc101775119"/>
      <w:bookmarkStart w:id="1373" w:name="_Toc519164377"/>
      <w:bookmarkStart w:id="1374" w:name="_Toc469512872"/>
      <w:bookmarkStart w:id="1375" w:name="_Toc526766009"/>
      <w:bookmarkStart w:id="1376" w:name="_Toc1975"/>
      <w:bookmarkStart w:id="1377" w:name="_Toc16433"/>
      <w:bookmarkStart w:id="1378" w:name="_Toc134956128"/>
      <w:bookmarkStart w:id="1379" w:name="_Toc101951252"/>
      <w:bookmarkStart w:id="1380" w:name="_Toc13555"/>
      <w:bookmarkStart w:id="1381" w:name="_Toc6215"/>
      <w:bookmarkStart w:id="1382" w:name="_Toc9475"/>
      <w:bookmarkStart w:id="1383" w:name="_Toc25996"/>
      <w:r>
        <w:rPr>
          <w:rFonts w:hint="eastAsia" w:hAnsi="宋体" w:cs="宋体"/>
          <w:b/>
          <w:szCs w:val="21"/>
          <w:highlight w:val="none"/>
        </w:rPr>
        <w:t>响应文件的装订、标记和密封</w:t>
      </w:r>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p>
    <w:p>
      <w:pPr>
        <w:pStyle w:val="5"/>
        <w:numPr>
          <w:ilvl w:val="2"/>
          <w:numId w:val="2"/>
        </w:numPr>
        <w:tabs>
          <w:tab w:val="clear" w:pos="851"/>
        </w:tabs>
        <w:ind w:left="0" w:firstLine="540"/>
        <w:rPr>
          <w:rFonts w:hAnsi="宋体" w:cs="宋体"/>
          <w:szCs w:val="21"/>
          <w:highlight w:val="none"/>
        </w:rPr>
      </w:pPr>
      <w:bookmarkStart w:id="1384" w:name="_Toc502737286"/>
      <w:bookmarkStart w:id="1385" w:name="_Toc497687572"/>
      <w:bookmarkStart w:id="1386" w:name="_Toc469512873"/>
      <w:bookmarkStart w:id="1387" w:name="_Toc12645"/>
      <w:bookmarkStart w:id="1388" w:name="_Toc4681"/>
      <w:bookmarkStart w:id="1389" w:name="_Toc526766010"/>
      <w:bookmarkStart w:id="1390" w:name="_Toc23572"/>
      <w:bookmarkStart w:id="1391" w:name="_Toc13576"/>
      <w:bookmarkStart w:id="1392" w:name="_Toc519164378"/>
      <w:bookmarkStart w:id="1393" w:name="_Toc9085"/>
      <w:bookmarkStart w:id="1394" w:name="_Toc532567203"/>
      <w:bookmarkStart w:id="1395" w:name="_Toc469512647"/>
      <w:bookmarkStart w:id="1396" w:name="_Toc29156"/>
      <w:bookmarkStart w:id="1397" w:name="_Toc519164524"/>
      <w:bookmarkStart w:id="1398" w:name="_Toc497225685"/>
      <w:bookmarkStart w:id="1399" w:name="_Toc7096"/>
      <w:r>
        <w:rPr>
          <w:rFonts w:hint="eastAsia" w:hAnsi="宋体" w:cs="宋体"/>
          <w:szCs w:val="21"/>
          <w:highlight w:val="none"/>
        </w:rPr>
        <w:t>供应商编制的响应文件应按竞争性磋商文件的要求装订成册，正本、副本分别封装完好，建议在封口处必须加盖公章或由法定代表人签字或授权代表签字。</w:t>
      </w:r>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p>
    <w:p>
      <w:pPr>
        <w:pStyle w:val="5"/>
        <w:numPr>
          <w:ilvl w:val="2"/>
          <w:numId w:val="2"/>
        </w:numPr>
        <w:tabs>
          <w:tab w:val="clear" w:pos="851"/>
        </w:tabs>
        <w:ind w:left="0" w:firstLine="540"/>
        <w:rPr>
          <w:rFonts w:hAnsi="宋体" w:cs="宋体"/>
          <w:szCs w:val="21"/>
          <w:highlight w:val="none"/>
        </w:rPr>
      </w:pPr>
      <w:bookmarkStart w:id="1400" w:name="_Toc497225686"/>
      <w:bookmarkStart w:id="1401" w:name="_Toc497687573"/>
      <w:bookmarkStart w:id="1402" w:name="_Toc28114"/>
      <w:bookmarkStart w:id="1403" w:name="_Toc15186"/>
      <w:bookmarkStart w:id="1404" w:name="_Toc532567204"/>
      <w:bookmarkStart w:id="1405" w:name="_Toc11203"/>
      <w:bookmarkStart w:id="1406" w:name="_Toc134955418"/>
      <w:bookmarkStart w:id="1407" w:name="_Toc30457"/>
      <w:bookmarkStart w:id="1408" w:name="_Toc469512874"/>
      <w:bookmarkStart w:id="1409" w:name="_Toc469512648"/>
      <w:bookmarkStart w:id="1410" w:name="_Toc519164525"/>
      <w:bookmarkStart w:id="1411" w:name="_Toc519164379"/>
      <w:bookmarkStart w:id="1412" w:name="_Toc502737287"/>
      <w:bookmarkStart w:id="1413" w:name="_Toc3772"/>
      <w:bookmarkStart w:id="1414" w:name="_Toc526766011"/>
      <w:bookmarkStart w:id="1415" w:name="_Toc1460"/>
      <w:bookmarkStart w:id="1416" w:name="_Toc44"/>
      <w:r>
        <w:rPr>
          <w:rFonts w:hint="eastAsia" w:hAnsi="宋体" w:cs="宋体"/>
          <w:szCs w:val="21"/>
          <w:highlight w:val="none"/>
        </w:rPr>
        <w:t>建议封套表面标明 “正本”或“副本”字样，在每一</w:t>
      </w:r>
      <w:r>
        <w:rPr>
          <w:rFonts w:hint="eastAsia" w:hAnsi="宋体" w:cs="宋体"/>
          <w:szCs w:val="21"/>
          <w:highlight w:val="none"/>
          <w:lang w:val="en-GB"/>
        </w:rPr>
        <w:t>封套上</w:t>
      </w:r>
      <w:r>
        <w:rPr>
          <w:rFonts w:hint="eastAsia" w:hAnsi="宋体" w:cs="宋体"/>
          <w:szCs w:val="21"/>
          <w:highlight w:val="none"/>
        </w:rPr>
        <w:t>按以下顺序标明如下字样：</w:t>
      </w:r>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p>
    <w:tbl>
      <w:tblPr>
        <w:tblStyle w:val="46"/>
        <w:tblW w:w="7140" w:type="dxa"/>
        <w:tblInd w:w="675"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14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62" w:hRule="atLeast"/>
        </w:trPr>
        <w:tc>
          <w:tcPr>
            <w:tcW w:w="7140" w:type="dxa"/>
            <w:tcBorders>
              <w:top w:val="double" w:color="000000" w:sz="6" w:space="0"/>
              <w:bottom w:val="double" w:color="000000" w:sz="6" w:space="0"/>
            </w:tcBorders>
          </w:tcPr>
          <w:p>
            <w:pPr>
              <w:tabs>
                <w:tab w:val="left" w:pos="1080"/>
                <w:tab w:val="left" w:pos="1620"/>
              </w:tabs>
              <w:spacing w:line="360" w:lineRule="auto"/>
              <w:jc w:val="center"/>
              <w:rPr>
                <w:rFonts w:ascii="宋体" w:hAnsi="宋体" w:cs="宋体"/>
                <w:b/>
                <w:bCs/>
                <w:highlight w:val="none"/>
              </w:rPr>
            </w:pPr>
            <w:bookmarkStart w:id="1417" w:name="_Toc475463070"/>
            <w:bookmarkStart w:id="1418" w:name="_Toc475462232"/>
            <w:bookmarkStart w:id="1419" w:name="_Toc478741198"/>
            <w:bookmarkStart w:id="1420" w:name="_Toc475456369"/>
            <w:bookmarkStart w:id="1421" w:name="_Toc519164526"/>
            <w:bookmarkStart w:id="1422" w:name="_Toc1194"/>
            <w:bookmarkStart w:id="1423" w:name="_Toc469512875"/>
            <w:bookmarkStart w:id="1424" w:name="_Toc14755"/>
            <w:bookmarkStart w:id="1425" w:name="_Toc497687574"/>
            <w:bookmarkStart w:id="1426" w:name="_Toc25909"/>
            <w:bookmarkStart w:id="1427" w:name="_Toc519164380"/>
            <w:bookmarkStart w:id="1428" w:name="_Toc532567205"/>
            <w:bookmarkStart w:id="1429" w:name="_Toc526766012"/>
            <w:bookmarkStart w:id="1430" w:name="_Toc502737288"/>
            <w:bookmarkStart w:id="1431" w:name="_Toc497225687"/>
            <w:bookmarkStart w:id="1432" w:name="_Toc469512649"/>
            <w:bookmarkStart w:id="1433" w:name="_Toc101775121"/>
            <w:bookmarkStart w:id="1434" w:name="_Toc134956130"/>
            <w:bookmarkStart w:id="1435" w:name="_Toc101951254"/>
            <w:bookmarkStart w:id="1436" w:name="_Toc101843121"/>
            <w:bookmarkStart w:id="1437" w:name="_Toc101771368"/>
            <w:r>
              <w:rPr>
                <w:rFonts w:hint="eastAsia" w:ascii="宋体" w:hAnsi="宋体" w:cs="宋体"/>
                <w:b/>
                <w:bCs/>
                <w:highlight w:val="none"/>
              </w:rPr>
              <w:t>响 应 文 件</w:t>
            </w:r>
          </w:p>
          <w:p>
            <w:pPr>
              <w:tabs>
                <w:tab w:val="left" w:pos="1080"/>
                <w:tab w:val="left" w:pos="1620"/>
              </w:tabs>
              <w:spacing w:line="360" w:lineRule="auto"/>
              <w:jc w:val="center"/>
              <w:rPr>
                <w:rFonts w:ascii="宋体" w:hAnsi="宋体" w:cs="宋体"/>
                <w:b/>
                <w:bCs/>
                <w:highlight w:val="none"/>
              </w:rPr>
            </w:pPr>
            <w:r>
              <w:rPr>
                <w:rFonts w:hint="eastAsia" w:ascii="宋体" w:hAnsi="宋体" w:cs="宋体"/>
                <w:b/>
                <w:bCs/>
                <w:highlight w:val="none"/>
              </w:rPr>
              <w:t>正本/副本</w:t>
            </w:r>
          </w:p>
          <w:p>
            <w:pPr>
              <w:tabs>
                <w:tab w:val="left" w:pos="1080"/>
                <w:tab w:val="left" w:pos="1620"/>
              </w:tabs>
              <w:spacing w:line="360" w:lineRule="auto"/>
              <w:rPr>
                <w:rFonts w:ascii="宋体" w:hAnsi="宋体" w:cs="宋体"/>
                <w:b/>
                <w:bCs/>
                <w:highlight w:val="none"/>
              </w:rPr>
            </w:pPr>
            <w:r>
              <w:rPr>
                <w:rFonts w:hint="eastAsia" w:ascii="宋体" w:hAnsi="宋体" w:cs="宋体"/>
                <w:b/>
                <w:bCs/>
                <w:highlight w:val="none"/>
              </w:rPr>
              <w:t>收件人：广东省机电设备招标有限公司</w:t>
            </w:r>
          </w:p>
          <w:p>
            <w:pPr>
              <w:spacing w:line="360" w:lineRule="auto"/>
              <w:ind w:left="1035" w:hanging="1035" w:hangingChars="491"/>
              <w:jc w:val="both"/>
              <w:rPr>
                <w:rFonts w:ascii="宋体" w:hAnsi="宋体" w:cs="宋体"/>
                <w:b/>
                <w:bCs/>
                <w:highlight w:val="none"/>
              </w:rPr>
            </w:pPr>
            <w:r>
              <w:rPr>
                <w:rFonts w:hint="eastAsia" w:ascii="宋体" w:hAnsi="宋体" w:cs="宋体"/>
                <w:b/>
                <w:bCs/>
                <w:highlight w:val="none"/>
              </w:rPr>
              <w:t>项目名称：</w:t>
            </w:r>
          </w:p>
          <w:p>
            <w:pPr>
              <w:spacing w:line="360" w:lineRule="auto"/>
              <w:jc w:val="both"/>
              <w:rPr>
                <w:rFonts w:ascii="宋体" w:hAnsi="宋体" w:cs="宋体"/>
                <w:b/>
                <w:bCs/>
                <w:highlight w:val="none"/>
              </w:rPr>
            </w:pPr>
            <w:r>
              <w:rPr>
                <w:rFonts w:hint="eastAsia" w:ascii="宋体" w:hAnsi="宋体" w:cs="宋体"/>
                <w:b/>
                <w:bCs/>
                <w:highlight w:val="none"/>
              </w:rPr>
              <w:t>项目编号：</w:t>
            </w:r>
          </w:p>
          <w:p>
            <w:pPr>
              <w:tabs>
                <w:tab w:val="left" w:pos="1080"/>
                <w:tab w:val="left" w:pos="1620"/>
              </w:tabs>
              <w:spacing w:line="360" w:lineRule="auto"/>
              <w:rPr>
                <w:rFonts w:ascii="宋体" w:hAnsi="宋体" w:cs="宋体"/>
                <w:b/>
                <w:bCs/>
                <w:highlight w:val="none"/>
              </w:rPr>
            </w:pPr>
            <w:r>
              <w:rPr>
                <w:rFonts w:hint="eastAsia" w:ascii="宋体" w:hAnsi="宋体" w:cs="宋体"/>
                <w:b/>
                <w:bCs/>
                <w:highlight w:val="none"/>
              </w:rPr>
              <w:t>供应商名称（加盖公章）：</w:t>
            </w:r>
          </w:p>
          <w:p>
            <w:pPr>
              <w:tabs>
                <w:tab w:val="left" w:pos="1080"/>
                <w:tab w:val="left" w:pos="1620"/>
              </w:tabs>
              <w:spacing w:line="360" w:lineRule="auto"/>
              <w:rPr>
                <w:rFonts w:ascii="宋体" w:hAnsi="宋体" w:cs="宋体"/>
                <w:bCs/>
                <w:highlight w:val="none"/>
              </w:rPr>
            </w:pPr>
            <w:r>
              <w:rPr>
                <w:rFonts w:hint="eastAsia" w:ascii="宋体" w:hAnsi="宋体" w:cs="宋体"/>
                <w:b/>
                <w:bCs/>
                <w:highlight w:val="none"/>
              </w:rPr>
              <w:t>在</w:t>
            </w:r>
            <w:r>
              <w:rPr>
                <w:rFonts w:hint="eastAsia" w:ascii="宋体" w:hAnsi="宋体" w:cs="宋体"/>
                <w:b/>
                <w:bCs/>
                <w:highlight w:val="none"/>
                <w:u w:val="single"/>
              </w:rPr>
              <w:t>（磋商文件中规定的磋商截止时间）</w:t>
            </w:r>
            <w:r>
              <w:rPr>
                <w:rFonts w:hint="eastAsia" w:ascii="宋体" w:hAnsi="宋体" w:cs="宋体"/>
                <w:b/>
                <w:bCs/>
                <w:highlight w:val="none"/>
              </w:rPr>
              <w:t>之前不得启封</w:t>
            </w:r>
          </w:p>
        </w:tc>
      </w:tr>
      <w:bookmarkEnd w:id="1417"/>
      <w:bookmarkEnd w:id="1418"/>
      <w:bookmarkEnd w:id="1419"/>
      <w:bookmarkEnd w:id="1420"/>
    </w:tbl>
    <w:p>
      <w:pPr>
        <w:pStyle w:val="5"/>
        <w:numPr>
          <w:ilvl w:val="2"/>
          <w:numId w:val="2"/>
        </w:numPr>
        <w:tabs>
          <w:tab w:val="clear" w:pos="851"/>
        </w:tabs>
        <w:ind w:left="0" w:firstLine="540"/>
        <w:rPr>
          <w:rFonts w:hAnsi="宋体" w:cs="宋体"/>
          <w:szCs w:val="21"/>
          <w:highlight w:val="none"/>
        </w:rPr>
      </w:pPr>
      <w:bookmarkStart w:id="1438" w:name="_Toc17046"/>
      <w:bookmarkStart w:id="1439" w:name="_Toc13844"/>
      <w:bookmarkStart w:id="1440" w:name="_Toc4408"/>
      <w:bookmarkStart w:id="1441" w:name="_Toc8070"/>
      <w:r>
        <w:rPr>
          <w:rFonts w:hint="eastAsia" w:hAnsi="宋体" w:cs="宋体"/>
          <w:szCs w:val="21"/>
          <w:highlight w:val="none"/>
        </w:rPr>
        <w:t>磋商保证金、退磋商保证金说明函原件放入开标信封内，在信封上应标明项目编号、供应商名称以及“磋商信封”字样。</w:t>
      </w:r>
      <w:bookmarkEnd w:id="1421"/>
      <w:bookmarkEnd w:id="1422"/>
      <w:bookmarkEnd w:id="1423"/>
      <w:bookmarkEnd w:id="1424"/>
      <w:bookmarkEnd w:id="1425"/>
      <w:bookmarkEnd w:id="1426"/>
      <w:bookmarkEnd w:id="1427"/>
      <w:bookmarkEnd w:id="1428"/>
      <w:bookmarkEnd w:id="1429"/>
      <w:bookmarkEnd w:id="1430"/>
      <w:bookmarkEnd w:id="1431"/>
      <w:bookmarkEnd w:id="1432"/>
      <w:bookmarkEnd w:id="1438"/>
      <w:bookmarkEnd w:id="1439"/>
      <w:bookmarkEnd w:id="1440"/>
      <w:bookmarkEnd w:id="1441"/>
    </w:p>
    <w:p>
      <w:pPr>
        <w:pStyle w:val="5"/>
        <w:numPr>
          <w:ilvl w:val="2"/>
          <w:numId w:val="2"/>
        </w:numPr>
        <w:tabs>
          <w:tab w:val="clear" w:pos="851"/>
        </w:tabs>
        <w:ind w:left="0" w:firstLine="540"/>
        <w:rPr>
          <w:rFonts w:hAnsi="宋体" w:cs="宋体"/>
          <w:szCs w:val="21"/>
          <w:highlight w:val="none"/>
        </w:rPr>
      </w:pPr>
      <w:bookmarkStart w:id="1442" w:name="_Toc14360"/>
      <w:bookmarkStart w:id="1443" w:name="_Toc16176"/>
      <w:bookmarkStart w:id="1444" w:name="_Toc519164381"/>
      <w:bookmarkStart w:id="1445" w:name="_Toc29287"/>
      <w:bookmarkStart w:id="1446" w:name="_Toc519164527"/>
      <w:bookmarkStart w:id="1447" w:name="_Toc26017"/>
      <w:bookmarkStart w:id="1448" w:name="_Toc469512650"/>
      <w:bookmarkStart w:id="1449" w:name="_Toc532567206"/>
      <w:bookmarkStart w:id="1450" w:name="_Toc502737289"/>
      <w:bookmarkStart w:id="1451" w:name="_Toc497225688"/>
      <w:bookmarkStart w:id="1452" w:name="_Toc22191"/>
      <w:bookmarkStart w:id="1453" w:name="_Toc469512876"/>
      <w:bookmarkStart w:id="1454" w:name="_Toc497687575"/>
      <w:bookmarkStart w:id="1455" w:name="_Toc526766013"/>
      <w:bookmarkStart w:id="1456" w:name="_Toc18380"/>
      <w:bookmarkStart w:id="1457" w:name="_Toc24061"/>
      <w:r>
        <w:rPr>
          <w:rFonts w:hint="eastAsia" w:hAnsi="宋体" w:cs="宋体"/>
          <w:szCs w:val="21"/>
          <w:highlight w:val="none"/>
        </w:rPr>
        <w:t>采购代理机构对不可抗力事件造成的响应文件的损坏、丢失不承担任何责任。</w:t>
      </w:r>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p>
    <w:p>
      <w:pPr>
        <w:pStyle w:val="5"/>
        <w:numPr>
          <w:ilvl w:val="1"/>
          <w:numId w:val="2"/>
        </w:numPr>
        <w:tabs>
          <w:tab w:val="clear" w:pos="851"/>
        </w:tabs>
        <w:spacing w:before="240" w:beforeLines="100" w:line="460" w:lineRule="exact"/>
        <w:ind w:left="1134" w:hanging="709"/>
        <w:rPr>
          <w:rFonts w:hAnsi="宋体" w:cs="宋体"/>
          <w:b/>
          <w:szCs w:val="21"/>
          <w:highlight w:val="none"/>
        </w:rPr>
      </w:pPr>
      <w:bookmarkStart w:id="1458" w:name="_Toc519164382"/>
      <w:bookmarkStart w:id="1459" w:name="_Toc30841"/>
      <w:bookmarkStart w:id="1460" w:name="_Toc27232"/>
      <w:bookmarkStart w:id="1461" w:name="_Toc469512877"/>
      <w:bookmarkStart w:id="1462" w:name="_Toc532567207"/>
      <w:bookmarkStart w:id="1463" w:name="_Toc519164528"/>
      <w:bookmarkStart w:id="1464" w:name="_Toc497687576"/>
      <w:bookmarkStart w:id="1465" w:name="_Toc497225689"/>
      <w:bookmarkStart w:id="1466" w:name="_Toc32492"/>
      <w:bookmarkStart w:id="1467" w:name="_Toc26358"/>
      <w:bookmarkStart w:id="1468" w:name="_Toc469512651"/>
      <w:bookmarkStart w:id="1469" w:name="_Toc29474"/>
      <w:bookmarkStart w:id="1470" w:name="_Toc502737290"/>
      <w:bookmarkStart w:id="1471" w:name="_Toc20064"/>
      <w:bookmarkStart w:id="1472" w:name="_Toc526766014"/>
      <w:bookmarkStart w:id="1473" w:name="_Toc3593"/>
      <w:r>
        <w:rPr>
          <w:rFonts w:hint="eastAsia" w:hAnsi="宋体" w:cs="宋体"/>
          <w:b/>
          <w:szCs w:val="21"/>
          <w:highlight w:val="none"/>
        </w:rPr>
        <w:t>响应文件的递交</w:t>
      </w:r>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p>
    <w:p>
      <w:pPr>
        <w:pStyle w:val="5"/>
        <w:numPr>
          <w:ilvl w:val="2"/>
          <w:numId w:val="2"/>
        </w:numPr>
        <w:tabs>
          <w:tab w:val="clear" w:pos="851"/>
        </w:tabs>
        <w:spacing w:line="460" w:lineRule="exact"/>
        <w:ind w:left="0" w:firstLine="540"/>
        <w:rPr>
          <w:rFonts w:hAnsi="宋体" w:cs="宋体"/>
          <w:szCs w:val="21"/>
          <w:highlight w:val="none"/>
        </w:rPr>
      </w:pPr>
      <w:bookmarkStart w:id="1474" w:name="_Toc29828"/>
      <w:bookmarkStart w:id="1475" w:name="_Toc469512878"/>
      <w:bookmarkStart w:id="1476" w:name="_Toc497687577"/>
      <w:bookmarkStart w:id="1477" w:name="_Toc519164383"/>
      <w:bookmarkStart w:id="1478" w:name="_Toc497225690"/>
      <w:bookmarkStart w:id="1479" w:name="_Toc1552"/>
      <w:bookmarkStart w:id="1480" w:name="_Toc3554"/>
      <w:bookmarkStart w:id="1481" w:name="_Toc12532"/>
      <w:bookmarkStart w:id="1482" w:name="_Toc519164529"/>
      <w:bookmarkStart w:id="1483" w:name="_Toc8798"/>
      <w:bookmarkStart w:id="1484" w:name="_Toc502737291"/>
      <w:bookmarkStart w:id="1485" w:name="_Toc532567208"/>
      <w:bookmarkStart w:id="1486" w:name="_Toc526766015"/>
      <w:bookmarkStart w:id="1487" w:name="_Toc469512652"/>
      <w:bookmarkStart w:id="1488" w:name="_Toc17025"/>
      <w:bookmarkStart w:id="1489" w:name="_Toc14479"/>
      <w:r>
        <w:rPr>
          <w:rFonts w:hint="eastAsia" w:hAnsi="宋体" w:cs="宋体"/>
          <w:szCs w:val="21"/>
          <w:highlight w:val="none"/>
        </w:rPr>
        <w:t>所有响应文件应在响应文件递交截止时间前送达采购代理机构开标地点。</w:t>
      </w:r>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p>
    <w:p>
      <w:pPr>
        <w:pStyle w:val="5"/>
        <w:numPr>
          <w:ilvl w:val="2"/>
          <w:numId w:val="2"/>
        </w:numPr>
        <w:tabs>
          <w:tab w:val="clear" w:pos="851"/>
        </w:tabs>
        <w:spacing w:line="460" w:lineRule="exact"/>
        <w:ind w:left="0" w:firstLine="540"/>
        <w:rPr>
          <w:rFonts w:hAnsi="宋体" w:cs="宋体"/>
          <w:szCs w:val="21"/>
          <w:highlight w:val="none"/>
        </w:rPr>
      </w:pPr>
      <w:bookmarkStart w:id="1490" w:name="_Toc469512653"/>
      <w:bookmarkStart w:id="1491" w:name="_Toc19662"/>
      <w:bookmarkStart w:id="1492" w:name="_Toc532567209"/>
      <w:bookmarkStart w:id="1493" w:name="_Toc52"/>
      <w:bookmarkStart w:id="1494" w:name="_Toc26216"/>
      <w:bookmarkStart w:id="1495" w:name="_Toc10173"/>
      <w:bookmarkStart w:id="1496" w:name="_Toc10033"/>
      <w:bookmarkStart w:id="1497" w:name="_Toc526766016"/>
      <w:bookmarkStart w:id="1498" w:name="_Toc502737292"/>
      <w:bookmarkStart w:id="1499" w:name="_Toc519164384"/>
      <w:bookmarkStart w:id="1500" w:name="_Toc519164530"/>
      <w:bookmarkStart w:id="1501" w:name="_Toc497687578"/>
      <w:bookmarkStart w:id="1502" w:name="_Toc497225691"/>
      <w:bookmarkStart w:id="1503" w:name="_Toc27155"/>
      <w:bookmarkStart w:id="1504" w:name="_Toc469512879"/>
      <w:bookmarkStart w:id="1505" w:name="_Toc1196"/>
      <w:r>
        <w:rPr>
          <w:rFonts w:hint="eastAsia" w:hAnsi="宋体" w:cs="宋体"/>
          <w:szCs w:val="21"/>
          <w:highlight w:val="none"/>
        </w:rPr>
        <w:t>采购代理机构将拒绝以下情况的响应文件：</w:t>
      </w:r>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p>
    <w:p>
      <w:pPr>
        <w:pStyle w:val="4"/>
        <w:tabs>
          <w:tab w:val="left" w:pos="1260"/>
        </w:tabs>
        <w:spacing w:line="460" w:lineRule="exact"/>
        <w:ind w:left="900" w:firstLine="315" w:firstLineChars="150"/>
        <w:rPr>
          <w:rFonts w:ascii="宋体" w:hAnsi="宋体" w:cs="宋体"/>
          <w:szCs w:val="21"/>
          <w:highlight w:val="none"/>
        </w:rPr>
      </w:pPr>
      <w:r>
        <w:rPr>
          <w:rFonts w:hint="eastAsia" w:ascii="宋体" w:hAnsi="宋体" w:cs="宋体"/>
          <w:szCs w:val="21"/>
          <w:highlight w:val="none"/>
        </w:rPr>
        <w:t>（1）响应文件递交截止时间以后送达的。</w:t>
      </w:r>
    </w:p>
    <w:p>
      <w:pPr>
        <w:pStyle w:val="5"/>
        <w:numPr>
          <w:ilvl w:val="2"/>
          <w:numId w:val="2"/>
        </w:numPr>
        <w:tabs>
          <w:tab w:val="clear" w:pos="851"/>
        </w:tabs>
        <w:spacing w:line="460" w:lineRule="exact"/>
        <w:ind w:left="0" w:firstLine="540"/>
        <w:rPr>
          <w:rFonts w:hAnsi="宋体" w:cs="宋体"/>
          <w:szCs w:val="21"/>
          <w:highlight w:val="none"/>
        </w:rPr>
      </w:pPr>
      <w:bookmarkStart w:id="1506" w:name="_Toc30639"/>
      <w:bookmarkStart w:id="1507" w:name="_Toc502737293"/>
      <w:bookmarkStart w:id="1508" w:name="_Toc6071"/>
      <w:bookmarkStart w:id="1509" w:name="_Toc32220"/>
      <w:bookmarkStart w:id="1510" w:name="_Toc4898"/>
      <w:bookmarkStart w:id="1511" w:name="_Toc469512654"/>
      <w:bookmarkStart w:id="1512" w:name="_Toc519164531"/>
      <w:bookmarkStart w:id="1513" w:name="_Toc519164385"/>
      <w:bookmarkStart w:id="1514" w:name="_Toc13482"/>
      <w:bookmarkStart w:id="1515" w:name="_Toc497687579"/>
      <w:bookmarkStart w:id="1516" w:name="_Toc15108"/>
      <w:bookmarkStart w:id="1517" w:name="_Toc526766017"/>
      <w:bookmarkStart w:id="1518" w:name="_Toc497225692"/>
      <w:bookmarkStart w:id="1519" w:name="_Toc469512880"/>
      <w:bookmarkStart w:id="1520" w:name="_Toc532567210"/>
      <w:bookmarkStart w:id="1521" w:name="_Toc2617"/>
      <w:r>
        <w:rPr>
          <w:rFonts w:hint="eastAsia" w:hAnsi="宋体" w:cs="宋体"/>
          <w:szCs w:val="21"/>
          <w:highlight w:val="none"/>
        </w:rPr>
        <w:t>采购代理机构不接受电报、电话、传真方式</w:t>
      </w:r>
      <w:r>
        <w:rPr>
          <w:rFonts w:hint="eastAsia" w:hAnsi="宋体" w:cs="宋体"/>
          <w:szCs w:val="21"/>
          <w:highlight w:val="none"/>
          <w:lang w:val="en-US" w:eastAsia="zh-CN"/>
        </w:rPr>
        <w:t>投标</w:t>
      </w:r>
      <w:r>
        <w:rPr>
          <w:rFonts w:hint="eastAsia" w:hAnsi="宋体" w:cs="宋体"/>
          <w:szCs w:val="21"/>
          <w:highlight w:val="none"/>
        </w:rPr>
        <w:t>。</w:t>
      </w:r>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p>
    <w:p>
      <w:pPr>
        <w:pStyle w:val="5"/>
        <w:numPr>
          <w:ilvl w:val="2"/>
          <w:numId w:val="2"/>
        </w:numPr>
        <w:tabs>
          <w:tab w:val="clear" w:pos="851"/>
        </w:tabs>
        <w:spacing w:line="460" w:lineRule="exact"/>
        <w:ind w:left="0" w:firstLine="540"/>
        <w:rPr>
          <w:rFonts w:hAnsi="宋体" w:cs="宋体"/>
          <w:szCs w:val="21"/>
          <w:highlight w:val="none"/>
        </w:rPr>
      </w:pPr>
      <w:bookmarkStart w:id="1522" w:name="_Toc16482"/>
      <w:bookmarkStart w:id="1523" w:name="_Toc519164386"/>
      <w:bookmarkStart w:id="1524" w:name="_Toc25038"/>
      <w:bookmarkStart w:id="1525" w:name="_Toc497687580"/>
      <w:bookmarkStart w:id="1526" w:name="_Toc8048"/>
      <w:bookmarkStart w:id="1527" w:name="_Toc469512881"/>
      <w:bookmarkStart w:id="1528" w:name="_Toc526766018"/>
      <w:bookmarkStart w:id="1529" w:name="_Toc469512655"/>
      <w:bookmarkStart w:id="1530" w:name="_Toc21463"/>
      <w:bookmarkStart w:id="1531" w:name="_Toc532567211"/>
      <w:bookmarkStart w:id="1532" w:name="_Toc502737294"/>
      <w:bookmarkStart w:id="1533" w:name="_Toc497225693"/>
      <w:bookmarkStart w:id="1534" w:name="_Toc26208"/>
      <w:bookmarkStart w:id="1535" w:name="_Toc30842"/>
      <w:bookmarkStart w:id="1536" w:name="_Toc519164532"/>
      <w:bookmarkStart w:id="1537" w:name="_Toc5397"/>
      <w:r>
        <w:rPr>
          <w:rFonts w:hint="eastAsia" w:hAnsi="宋体" w:cs="宋体"/>
          <w:szCs w:val="21"/>
          <w:highlight w:val="none"/>
        </w:rPr>
        <w:t>采购代理机构对因不可抗力事件造成的响应文件的损坏、丢失不承担责任。</w:t>
      </w:r>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p>
    <w:p>
      <w:pPr>
        <w:pStyle w:val="5"/>
        <w:numPr>
          <w:ilvl w:val="1"/>
          <w:numId w:val="2"/>
        </w:numPr>
        <w:tabs>
          <w:tab w:val="clear" w:pos="851"/>
        </w:tabs>
        <w:spacing w:before="240" w:beforeLines="100"/>
        <w:ind w:left="1134" w:hanging="709"/>
        <w:rPr>
          <w:rFonts w:hAnsi="宋体" w:cs="宋体"/>
          <w:b/>
          <w:szCs w:val="21"/>
          <w:highlight w:val="none"/>
        </w:rPr>
      </w:pPr>
      <w:bookmarkStart w:id="1538" w:name="_Toc22618"/>
      <w:bookmarkStart w:id="1539" w:name="_Toc4397"/>
      <w:bookmarkStart w:id="1540" w:name="_Toc532567212"/>
      <w:bookmarkStart w:id="1541" w:name="_Toc519164533"/>
      <w:bookmarkStart w:id="1542" w:name="_Toc519164387"/>
      <w:bookmarkStart w:id="1543" w:name="_Toc469512656"/>
      <w:bookmarkStart w:id="1544" w:name="_Toc12396"/>
      <w:bookmarkStart w:id="1545" w:name="_Toc2265"/>
      <w:bookmarkStart w:id="1546" w:name="_Toc497225694"/>
      <w:bookmarkStart w:id="1547" w:name="_Toc469512882"/>
      <w:bookmarkStart w:id="1548" w:name="_Toc32679"/>
      <w:bookmarkStart w:id="1549" w:name="_Toc526766019"/>
      <w:bookmarkStart w:id="1550" w:name="_Toc502737295"/>
      <w:bookmarkStart w:id="1551" w:name="_Toc19300"/>
      <w:bookmarkStart w:id="1552" w:name="_Toc497687581"/>
      <w:bookmarkStart w:id="1553" w:name="_Toc22123"/>
      <w:r>
        <w:rPr>
          <w:rFonts w:hint="eastAsia" w:hAnsi="宋体" w:cs="宋体"/>
          <w:b/>
          <w:szCs w:val="21"/>
          <w:highlight w:val="none"/>
        </w:rPr>
        <w:t>响应文件的修改与撤回</w:t>
      </w:r>
      <w:bookmarkEnd w:id="1433"/>
      <w:bookmarkEnd w:id="1434"/>
      <w:bookmarkEnd w:id="1435"/>
      <w:bookmarkEnd w:id="1436"/>
      <w:bookmarkEnd w:id="14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p>
    <w:p>
      <w:pPr>
        <w:pStyle w:val="5"/>
        <w:numPr>
          <w:ilvl w:val="2"/>
          <w:numId w:val="2"/>
        </w:numPr>
        <w:tabs>
          <w:tab w:val="clear" w:pos="851"/>
        </w:tabs>
        <w:ind w:left="0" w:firstLine="540"/>
        <w:rPr>
          <w:rFonts w:hAnsi="宋体" w:cs="宋体"/>
          <w:szCs w:val="21"/>
          <w:highlight w:val="none"/>
        </w:rPr>
      </w:pPr>
      <w:bookmarkStart w:id="1554" w:name="_Toc469512883"/>
      <w:bookmarkStart w:id="1555" w:name="_Toc502737296"/>
      <w:bookmarkStart w:id="1556" w:name="_Toc3070"/>
      <w:bookmarkStart w:id="1557" w:name="_Toc497225695"/>
      <w:bookmarkStart w:id="1558" w:name="_Toc532567213"/>
      <w:bookmarkStart w:id="1559" w:name="_Toc526766020"/>
      <w:bookmarkStart w:id="1560" w:name="_Toc469512657"/>
      <w:bookmarkStart w:id="1561" w:name="_Toc8688"/>
      <w:bookmarkStart w:id="1562" w:name="_Toc31357"/>
      <w:bookmarkStart w:id="1563" w:name="_Toc23433"/>
      <w:bookmarkStart w:id="1564" w:name="_Toc497687582"/>
      <w:bookmarkStart w:id="1565" w:name="_Toc21440"/>
      <w:bookmarkStart w:id="1566" w:name="_Toc519164388"/>
      <w:bookmarkStart w:id="1567" w:name="_Toc519164534"/>
      <w:bookmarkStart w:id="1568" w:name="_Toc31520"/>
      <w:bookmarkStart w:id="1569" w:name="_Toc3934"/>
      <w:r>
        <w:rPr>
          <w:rFonts w:hint="eastAsia" w:hAnsi="宋体" w:cs="宋体"/>
          <w:szCs w:val="21"/>
          <w:highlight w:val="none"/>
        </w:rPr>
        <w:t>供应商在磋商文件要求提交响应文件的截止时间前，可以补充、修改或者撤回已提交的响应文件，并书面通知采购代理机构。补充、修改的内容为响应文件的一部分，与原响应文件不一致的，以补充、修改的内容为准。</w:t>
      </w:r>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Start w:id="1570" w:name="_Toc134955426"/>
    </w:p>
    <w:p>
      <w:pPr>
        <w:pStyle w:val="5"/>
        <w:numPr>
          <w:ilvl w:val="2"/>
          <w:numId w:val="2"/>
        </w:numPr>
        <w:tabs>
          <w:tab w:val="clear" w:pos="851"/>
        </w:tabs>
        <w:ind w:left="0" w:firstLine="540"/>
        <w:rPr>
          <w:rFonts w:hAnsi="宋体" w:cs="宋体"/>
          <w:szCs w:val="21"/>
          <w:highlight w:val="none"/>
        </w:rPr>
      </w:pPr>
      <w:bookmarkStart w:id="1571" w:name="_Toc18519"/>
      <w:bookmarkStart w:id="1572" w:name="_Toc14928"/>
      <w:bookmarkStart w:id="1573" w:name="_Toc532567214"/>
      <w:bookmarkStart w:id="1574" w:name="_Toc519164389"/>
      <w:bookmarkStart w:id="1575" w:name="_Toc9895"/>
      <w:bookmarkStart w:id="1576" w:name="_Toc16680"/>
      <w:bookmarkStart w:id="1577" w:name="_Toc469512884"/>
      <w:bookmarkStart w:id="1578" w:name="_Toc19960"/>
      <w:bookmarkStart w:id="1579" w:name="_Toc519164535"/>
      <w:bookmarkStart w:id="1580" w:name="_Toc497687583"/>
      <w:bookmarkStart w:id="1581" w:name="_Toc502737297"/>
      <w:bookmarkStart w:id="1582" w:name="_Toc497225696"/>
      <w:bookmarkStart w:id="1583" w:name="_Toc469512658"/>
      <w:bookmarkStart w:id="1584" w:name="_Toc526766021"/>
      <w:bookmarkStart w:id="1585" w:name="_Toc10657"/>
      <w:bookmarkStart w:id="1586" w:name="_Toc17812"/>
      <w:r>
        <w:rPr>
          <w:rFonts w:hint="eastAsia" w:hAnsi="宋体" w:cs="宋体"/>
          <w:szCs w:val="21"/>
          <w:highlight w:val="none"/>
        </w:rPr>
        <w:t>供应商补充、修改响应文件的书面材料（应有授权代表签字或加盖公章），须密封送达采购代理机构，同时应在封套上标明“补充、修改响应文件”和磋商项目编号。</w:t>
      </w:r>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p>
    <w:p>
      <w:pPr>
        <w:pStyle w:val="5"/>
        <w:numPr>
          <w:ilvl w:val="2"/>
          <w:numId w:val="2"/>
        </w:numPr>
        <w:tabs>
          <w:tab w:val="clear" w:pos="851"/>
        </w:tabs>
        <w:ind w:left="0" w:firstLine="540"/>
        <w:rPr>
          <w:rFonts w:hAnsi="宋体" w:cs="宋体"/>
          <w:szCs w:val="21"/>
          <w:highlight w:val="none"/>
        </w:rPr>
      </w:pPr>
      <w:bookmarkStart w:id="1587" w:name="_Toc497687584"/>
      <w:bookmarkStart w:id="1588" w:name="_Toc532567215"/>
      <w:bookmarkStart w:id="1589" w:name="_Toc469512659"/>
      <w:bookmarkStart w:id="1590" w:name="_Toc469512885"/>
      <w:bookmarkStart w:id="1591" w:name="_Toc10571"/>
      <w:bookmarkStart w:id="1592" w:name="_Toc519164536"/>
      <w:bookmarkStart w:id="1593" w:name="_Toc519164390"/>
      <w:bookmarkStart w:id="1594" w:name="_Toc27275"/>
      <w:bookmarkStart w:id="1595" w:name="_Toc7377"/>
      <w:bookmarkStart w:id="1596" w:name="_Toc502737298"/>
      <w:bookmarkStart w:id="1597" w:name="_Toc526766022"/>
      <w:bookmarkStart w:id="1598" w:name="_Toc12628"/>
      <w:bookmarkStart w:id="1599" w:name="_Toc26563"/>
      <w:bookmarkStart w:id="1600" w:name="_Toc5997"/>
      <w:bookmarkStart w:id="1601" w:name="_Toc497225697"/>
      <w:bookmarkStart w:id="1602" w:name="_Toc14322"/>
      <w:r>
        <w:rPr>
          <w:rFonts w:hint="eastAsia" w:hAnsi="宋体" w:cs="宋体"/>
          <w:szCs w:val="21"/>
          <w:highlight w:val="none"/>
        </w:rPr>
        <w:t>撤回</w:t>
      </w:r>
      <w:r>
        <w:rPr>
          <w:rFonts w:hint="eastAsia" w:hAnsi="宋体" w:cs="宋体"/>
          <w:szCs w:val="21"/>
          <w:highlight w:val="none"/>
          <w:lang w:val="en-US" w:eastAsia="zh-CN"/>
        </w:rPr>
        <w:t>投标</w:t>
      </w:r>
      <w:r>
        <w:rPr>
          <w:rFonts w:hint="eastAsia" w:hAnsi="宋体" w:cs="宋体"/>
          <w:szCs w:val="21"/>
          <w:highlight w:val="none"/>
        </w:rPr>
        <w:t>应以书面形式通知采购代理机构，并有法定代表人或</w:t>
      </w:r>
      <w:r>
        <w:rPr>
          <w:rFonts w:hint="eastAsia" w:hAnsi="宋体" w:cs="宋体"/>
          <w:szCs w:val="21"/>
          <w:highlight w:val="none"/>
          <w:lang w:val="en-US" w:eastAsia="zh-CN"/>
        </w:rPr>
        <w:t>其</w:t>
      </w:r>
      <w:r>
        <w:rPr>
          <w:rFonts w:hint="eastAsia" w:hAnsi="宋体" w:cs="宋体"/>
          <w:szCs w:val="21"/>
          <w:highlight w:val="none"/>
        </w:rPr>
        <w:t>授权代表的签字和加盖公章。</w:t>
      </w:r>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p>
    <w:p>
      <w:pPr>
        <w:pStyle w:val="5"/>
        <w:tabs>
          <w:tab w:val="clear" w:pos="851"/>
        </w:tabs>
        <w:ind w:left="540"/>
        <w:rPr>
          <w:rFonts w:hAnsi="宋体" w:cs="宋体"/>
          <w:szCs w:val="21"/>
          <w:highlight w:val="none"/>
        </w:rPr>
      </w:pPr>
      <w:bookmarkStart w:id="1603" w:name="_Toc526766023"/>
      <w:bookmarkStart w:id="1604" w:name="_Toc469512660"/>
      <w:bookmarkStart w:id="1605" w:name="_Toc2484"/>
      <w:bookmarkStart w:id="1606" w:name="_Toc519164391"/>
      <w:bookmarkStart w:id="1607" w:name="_Toc519164537"/>
      <w:bookmarkStart w:id="1608" w:name="_Toc28923"/>
      <w:bookmarkStart w:id="1609" w:name="_Toc502737299"/>
      <w:bookmarkStart w:id="1610" w:name="_Toc497225698"/>
      <w:bookmarkStart w:id="1611" w:name="_Toc20397"/>
      <w:bookmarkStart w:id="1612" w:name="_Toc497687585"/>
      <w:bookmarkStart w:id="1613" w:name="_Toc469512886"/>
      <w:bookmarkStart w:id="1614" w:name="_Toc17272"/>
      <w:bookmarkStart w:id="1615" w:name="_Toc4439"/>
      <w:bookmarkStart w:id="1616" w:name="_Toc532567216"/>
      <w:bookmarkStart w:id="1617" w:name="_Toc2097"/>
      <w:bookmarkStart w:id="1618" w:name="_Toc14666"/>
      <w:r>
        <w:rPr>
          <w:rFonts w:hint="eastAsia" w:hAnsi="宋体" w:cs="宋体"/>
          <w:szCs w:val="21"/>
          <w:highlight w:val="none"/>
        </w:rPr>
        <w:t>4.已提交响应文件的供应商，在提交最后</w:t>
      </w:r>
      <w:r>
        <w:rPr>
          <w:rFonts w:hint="eastAsia" w:hAnsi="宋体" w:cs="宋体"/>
          <w:szCs w:val="21"/>
          <w:highlight w:val="none"/>
          <w:lang w:val="en-US" w:eastAsia="zh-CN"/>
        </w:rPr>
        <w:t>承诺</w:t>
      </w:r>
      <w:r>
        <w:rPr>
          <w:rFonts w:hint="eastAsia" w:hAnsi="宋体" w:cs="宋体"/>
          <w:szCs w:val="21"/>
          <w:highlight w:val="none"/>
        </w:rPr>
        <w:t>之前，可以根据磋商情况退出磋商。</w:t>
      </w:r>
      <w:bookmarkEnd w:id="1570"/>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p>
    <w:p>
      <w:pPr>
        <w:pStyle w:val="5"/>
        <w:numPr>
          <w:ilvl w:val="1"/>
          <w:numId w:val="2"/>
        </w:numPr>
        <w:tabs>
          <w:tab w:val="clear" w:pos="851"/>
        </w:tabs>
        <w:spacing w:before="240" w:beforeLines="100"/>
        <w:ind w:left="1134" w:hanging="709"/>
        <w:rPr>
          <w:rFonts w:hAnsi="宋体" w:cs="宋体"/>
          <w:b/>
          <w:szCs w:val="21"/>
          <w:highlight w:val="none"/>
        </w:rPr>
      </w:pPr>
      <w:bookmarkStart w:id="1619" w:name="_Toc519164392"/>
      <w:bookmarkStart w:id="1620" w:name="_Toc497687586"/>
      <w:bookmarkStart w:id="1621" w:name="_Toc469512661"/>
      <w:bookmarkStart w:id="1622" w:name="_Toc469512887"/>
      <w:bookmarkStart w:id="1623" w:name="_Toc502737300"/>
      <w:bookmarkStart w:id="1624" w:name="_Toc497225699"/>
      <w:bookmarkStart w:id="1625" w:name="_Toc31469"/>
      <w:bookmarkStart w:id="1626" w:name="_Toc8683"/>
      <w:bookmarkStart w:id="1627" w:name="_Toc18200"/>
      <w:bookmarkStart w:id="1628" w:name="_Toc6618"/>
      <w:bookmarkStart w:id="1629" w:name="_Toc532567217"/>
      <w:bookmarkStart w:id="1630" w:name="_Toc4019"/>
      <w:bookmarkStart w:id="1631" w:name="_Toc526766024"/>
      <w:bookmarkStart w:id="1632" w:name="_Toc7957"/>
      <w:bookmarkStart w:id="1633" w:name="_Toc519164538"/>
      <w:bookmarkStart w:id="1634" w:name="_Toc9626"/>
      <w:bookmarkStart w:id="1635" w:name="_Toc101771370"/>
      <w:bookmarkStart w:id="1636" w:name="_Toc101775123"/>
      <w:bookmarkStart w:id="1637" w:name="_Toc98580286"/>
      <w:bookmarkStart w:id="1638" w:name="_Toc98579004"/>
      <w:bookmarkStart w:id="1639" w:name="_Toc42394666"/>
      <w:bookmarkStart w:id="1640" w:name="_Toc42313164"/>
      <w:bookmarkStart w:id="1641" w:name="_Toc50276150"/>
      <w:bookmarkStart w:id="1642" w:name="_Toc101843123"/>
      <w:bookmarkStart w:id="1643" w:name="_Toc41884698"/>
      <w:bookmarkStart w:id="1644" w:name="_Toc98579603"/>
      <w:bookmarkStart w:id="1645" w:name="_Toc134956132"/>
      <w:bookmarkStart w:id="1646" w:name="_Toc98579062"/>
      <w:bookmarkStart w:id="1647" w:name="_Toc41723928"/>
      <w:bookmarkStart w:id="1648" w:name="_Toc42394509"/>
      <w:bookmarkStart w:id="1649" w:name="_Toc101951256"/>
      <w:r>
        <w:rPr>
          <w:rFonts w:hint="eastAsia" w:hAnsi="宋体" w:cs="宋体"/>
          <w:b/>
          <w:szCs w:val="21"/>
          <w:highlight w:val="none"/>
          <w:lang w:val="en-US" w:eastAsia="zh-CN"/>
        </w:rPr>
        <w:t>投标</w:t>
      </w:r>
      <w:r>
        <w:rPr>
          <w:rFonts w:hint="eastAsia" w:hAnsi="宋体" w:cs="宋体"/>
          <w:b/>
          <w:szCs w:val="21"/>
          <w:highlight w:val="none"/>
        </w:rPr>
        <w:t>有效期</w:t>
      </w:r>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p>
    <w:p>
      <w:pPr>
        <w:pStyle w:val="4"/>
        <w:tabs>
          <w:tab w:val="left" w:pos="900"/>
        </w:tabs>
        <w:spacing w:line="460" w:lineRule="exact"/>
        <w:rPr>
          <w:rFonts w:ascii="宋体" w:hAnsi="宋体" w:cs="宋体"/>
          <w:highlight w:val="none"/>
        </w:rPr>
      </w:pPr>
      <w:r>
        <w:rPr>
          <w:rFonts w:hint="eastAsia" w:hAnsi="宋体" w:cs="宋体"/>
          <w:szCs w:val="21"/>
          <w:highlight w:val="none"/>
          <w:lang w:val="en-US" w:eastAsia="zh-CN"/>
        </w:rPr>
        <w:t>投标</w:t>
      </w:r>
      <w:r>
        <w:rPr>
          <w:rFonts w:hint="eastAsia" w:ascii="宋体" w:hAnsi="宋体" w:cs="宋体"/>
          <w:highlight w:val="none"/>
        </w:rPr>
        <w:t>有效期：响应文件递交截至之日起90天。</w:t>
      </w:r>
    </w:p>
    <w:p>
      <w:pPr>
        <w:pStyle w:val="4"/>
        <w:tabs>
          <w:tab w:val="left" w:pos="900"/>
        </w:tabs>
        <w:spacing w:line="460" w:lineRule="exact"/>
        <w:rPr>
          <w:rFonts w:ascii="宋体" w:hAnsi="宋体" w:cs="宋体"/>
          <w:szCs w:val="21"/>
          <w:highlight w:val="none"/>
        </w:rPr>
      </w:pPr>
      <w:r>
        <w:rPr>
          <w:rFonts w:hint="eastAsia" w:ascii="宋体" w:hAnsi="宋体" w:cs="宋体"/>
          <w:szCs w:val="21"/>
          <w:highlight w:val="none"/>
        </w:rPr>
        <w:t>在特殊情况下，采购代理机构可于</w:t>
      </w:r>
      <w:r>
        <w:rPr>
          <w:rFonts w:hint="eastAsia" w:hAnsi="宋体" w:cs="宋体"/>
          <w:szCs w:val="21"/>
          <w:highlight w:val="none"/>
          <w:lang w:val="en-US" w:eastAsia="zh-CN"/>
        </w:rPr>
        <w:t>投标</w:t>
      </w:r>
      <w:r>
        <w:rPr>
          <w:rFonts w:hint="eastAsia" w:ascii="宋体" w:hAnsi="宋体" w:cs="宋体"/>
          <w:szCs w:val="21"/>
          <w:highlight w:val="none"/>
        </w:rPr>
        <w:t>有效期满之前要求供应商同意延长有效期，要求与答复均以书面形式进行，同时，磋商保证金的有效期也相应延长。供应商可以拒绝上述要求，但其</w:t>
      </w:r>
      <w:r>
        <w:rPr>
          <w:rFonts w:hint="eastAsia" w:hAnsi="宋体" w:cs="宋体"/>
          <w:szCs w:val="21"/>
          <w:highlight w:val="none"/>
          <w:lang w:val="en-US" w:eastAsia="zh-CN"/>
        </w:rPr>
        <w:t>投标</w:t>
      </w:r>
      <w:r>
        <w:rPr>
          <w:rFonts w:hint="eastAsia" w:ascii="宋体" w:hAnsi="宋体" w:cs="宋体"/>
          <w:szCs w:val="21"/>
          <w:highlight w:val="none"/>
        </w:rPr>
        <w:t>将会被拒绝并无息退还磋商保证金；同意延期的供应商其权利与义务相应延至新的截止期。</w:t>
      </w:r>
    </w:p>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p>
      <w:pPr>
        <w:pStyle w:val="5"/>
        <w:numPr>
          <w:ilvl w:val="1"/>
          <w:numId w:val="2"/>
        </w:numPr>
        <w:tabs>
          <w:tab w:val="clear" w:pos="851"/>
        </w:tabs>
        <w:spacing w:before="240" w:beforeLines="100"/>
        <w:ind w:left="1134" w:hanging="709"/>
        <w:rPr>
          <w:rFonts w:hAnsi="宋体" w:cs="宋体"/>
          <w:b/>
          <w:szCs w:val="21"/>
          <w:highlight w:val="none"/>
        </w:rPr>
      </w:pPr>
      <w:bookmarkStart w:id="1650" w:name="_Toc15149"/>
      <w:bookmarkStart w:id="1651" w:name="_Toc526766025"/>
      <w:bookmarkStart w:id="1652" w:name="_Toc519164539"/>
      <w:bookmarkStart w:id="1653" w:name="_Toc3168"/>
      <w:bookmarkStart w:id="1654" w:name="_Toc497687587"/>
      <w:bookmarkStart w:id="1655" w:name="_Toc502737301"/>
      <w:bookmarkStart w:id="1656" w:name="_Toc532567218"/>
      <w:bookmarkStart w:id="1657" w:name="_Toc469512662"/>
      <w:bookmarkStart w:id="1658" w:name="_Toc469512888"/>
      <w:bookmarkStart w:id="1659" w:name="_Toc22459"/>
      <w:bookmarkStart w:id="1660" w:name="_Toc15804"/>
      <w:bookmarkStart w:id="1661" w:name="_Toc24446"/>
      <w:bookmarkStart w:id="1662" w:name="_Toc29149"/>
      <w:bookmarkStart w:id="1663" w:name="_Toc497225700"/>
      <w:bookmarkStart w:id="1664" w:name="_Toc519164393"/>
      <w:bookmarkStart w:id="1665" w:name="_Toc25233"/>
      <w:r>
        <w:rPr>
          <w:rFonts w:hint="eastAsia" w:hAnsi="宋体" w:cs="宋体"/>
          <w:b/>
          <w:szCs w:val="21"/>
          <w:highlight w:val="none"/>
        </w:rPr>
        <w:t>磋商保证金</w:t>
      </w:r>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p>
    <w:p>
      <w:pPr>
        <w:pStyle w:val="5"/>
        <w:numPr>
          <w:ilvl w:val="2"/>
          <w:numId w:val="2"/>
        </w:numPr>
        <w:tabs>
          <w:tab w:val="clear" w:pos="851"/>
        </w:tabs>
        <w:ind w:left="0" w:firstLine="540"/>
        <w:rPr>
          <w:rFonts w:hAnsi="宋体" w:cs="宋体"/>
          <w:szCs w:val="21"/>
          <w:highlight w:val="none"/>
        </w:rPr>
      </w:pPr>
      <w:bookmarkStart w:id="1666" w:name="_Toc469512889"/>
      <w:bookmarkStart w:id="1667" w:name="_Toc469512663"/>
      <w:bookmarkStart w:id="1668" w:name="_Toc497225701"/>
      <w:bookmarkStart w:id="1669" w:name="_Toc519164540"/>
      <w:bookmarkStart w:id="1670" w:name="_Toc502737302"/>
      <w:bookmarkStart w:id="1671" w:name="_Toc526766026"/>
      <w:bookmarkStart w:id="1672" w:name="_Toc497687588"/>
      <w:bookmarkStart w:id="1673" w:name="_Toc519164394"/>
      <w:bookmarkStart w:id="1674" w:name="_Toc29691"/>
      <w:bookmarkStart w:id="1675" w:name="_Toc14311"/>
      <w:bookmarkStart w:id="1676" w:name="_Toc532567219"/>
      <w:bookmarkStart w:id="1677" w:name="_Toc31925"/>
      <w:bookmarkStart w:id="1678" w:name="_Toc9721"/>
      <w:bookmarkStart w:id="1679" w:name="_Toc21276"/>
      <w:bookmarkStart w:id="1680" w:name="_Toc2150"/>
      <w:bookmarkStart w:id="1681" w:name="_Toc27940"/>
      <w:r>
        <w:rPr>
          <w:rFonts w:hint="eastAsia" w:hAnsi="宋体" w:cs="宋体"/>
          <w:szCs w:val="21"/>
          <w:highlight w:val="none"/>
        </w:rPr>
        <w:t>供应商应交纳磋商保证金</w:t>
      </w:r>
      <w:bookmarkEnd w:id="1666"/>
      <w:bookmarkEnd w:id="1667"/>
      <w:bookmarkEnd w:id="1668"/>
      <w:bookmarkEnd w:id="1669"/>
      <w:bookmarkEnd w:id="1670"/>
      <w:bookmarkEnd w:id="1671"/>
      <w:bookmarkEnd w:id="1672"/>
      <w:bookmarkEnd w:id="1673"/>
      <w:r>
        <w:rPr>
          <w:rFonts w:hint="eastAsia" w:hAnsi="宋体" w:cs="宋体"/>
          <w:szCs w:val="21"/>
          <w:highlight w:val="none"/>
        </w:rPr>
        <w:t>：</w:t>
      </w:r>
      <w:r>
        <w:rPr>
          <w:rFonts w:hint="eastAsia" w:hAnsi="宋体" w:cs="宋体"/>
          <w:b/>
          <w:szCs w:val="21"/>
          <w:highlight w:val="none"/>
        </w:rPr>
        <w:t>人民币5,000.00元。</w:t>
      </w:r>
      <w:bookmarkEnd w:id="1674"/>
      <w:bookmarkEnd w:id="1675"/>
      <w:bookmarkEnd w:id="1676"/>
      <w:bookmarkEnd w:id="1677"/>
      <w:bookmarkEnd w:id="1678"/>
      <w:bookmarkEnd w:id="1679"/>
      <w:bookmarkEnd w:id="1680"/>
      <w:bookmarkEnd w:id="1681"/>
    </w:p>
    <w:p>
      <w:pPr>
        <w:pStyle w:val="5"/>
        <w:numPr>
          <w:ilvl w:val="2"/>
          <w:numId w:val="2"/>
        </w:numPr>
        <w:tabs>
          <w:tab w:val="clear" w:pos="851"/>
        </w:tabs>
        <w:ind w:left="0" w:firstLine="540"/>
        <w:rPr>
          <w:rFonts w:hAnsi="宋体" w:cs="宋体"/>
          <w:b/>
          <w:highlight w:val="none"/>
        </w:rPr>
      </w:pPr>
      <w:bookmarkStart w:id="1682" w:name="_Toc1358"/>
      <w:bookmarkStart w:id="1683" w:name="_Toc532567220"/>
      <w:bookmarkStart w:id="1684" w:name="_Toc30617"/>
      <w:bookmarkStart w:id="1685" w:name="_Toc4119"/>
      <w:bookmarkStart w:id="1686" w:name="_Toc21041"/>
      <w:bookmarkStart w:id="1687" w:name="_Toc23980"/>
      <w:bookmarkStart w:id="1688" w:name="_Toc22202"/>
      <w:bookmarkStart w:id="1689" w:name="_Toc29555"/>
      <w:r>
        <w:rPr>
          <w:rFonts w:hint="eastAsia" w:hAnsi="宋体" w:cs="宋体"/>
          <w:b/>
          <w:highlight w:val="none"/>
        </w:rPr>
        <w:t>本项目接受子账号方式缴纳磋商保证金，供应商网上报名成功后，应登录广咨电子招投标交易平台网站（www.gzebid.cn）并选择对应项目获取缴纳磋商保证金的子账号（每位供应商每个项目的保证金缴纳账户是唯一的，该账号是针对每位供应商随机生成的专属账号）。</w:t>
      </w:r>
      <w:bookmarkEnd w:id="1682"/>
      <w:bookmarkEnd w:id="1683"/>
      <w:bookmarkEnd w:id="1684"/>
      <w:bookmarkEnd w:id="1685"/>
      <w:bookmarkEnd w:id="1686"/>
      <w:bookmarkEnd w:id="1687"/>
      <w:bookmarkEnd w:id="1688"/>
      <w:bookmarkEnd w:id="1689"/>
    </w:p>
    <w:p>
      <w:pPr>
        <w:pStyle w:val="4"/>
        <w:tabs>
          <w:tab w:val="left" w:pos="900"/>
        </w:tabs>
        <w:spacing w:line="360" w:lineRule="auto"/>
        <w:rPr>
          <w:rFonts w:ascii="宋体" w:hAnsi="宋体" w:cs="宋体"/>
          <w:b/>
          <w:szCs w:val="21"/>
          <w:highlight w:val="none"/>
        </w:rPr>
      </w:pPr>
      <w:r>
        <w:rPr>
          <w:rFonts w:hint="eastAsia" w:ascii="宋体" w:hAnsi="宋体" w:cs="宋体"/>
          <w:b/>
          <w:szCs w:val="21"/>
          <w:highlight w:val="none"/>
        </w:rPr>
        <w:t>注意事项：</w:t>
      </w:r>
    </w:p>
    <w:p>
      <w:pPr>
        <w:pStyle w:val="4"/>
        <w:tabs>
          <w:tab w:val="left" w:pos="900"/>
        </w:tabs>
        <w:spacing w:line="360" w:lineRule="auto"/>
        <w:rPr>
          <w:rFonts w:ascii="宋体" w:hAnsi="宋体" w:cs="宋体"/>
          <w:b/>
          <w:szCs w:val="21"/>
          <w:highlight w:val="none"/>
        </w:rPr>
      </w:pPr>
      <w:r>
        <w:rPr>
          <w:rFonts w:hint="eastAsia" w:ascii="宋体" w:hAnsi="宋体" w:cs="宋体"/>
          <w:b/>
          <w:szCs w:val="21"/>
          <w:highlight w:val="none"/>
        </w:rPr>
        <w:t>（1）磋商保证金应从供应商在本平台注册的基本户中支付，并以资金到达该子账号的时间为准，如从其他账户、或未缴纳到指定的子账号，视为无效保证金。</w:t>
      </w:r>
    </w:p>
    <w:p>
      <w:pPr>
        <w:pStyle w:val="4"/>
        <w:tabs>
          <w:tab w:val="left" w:pos="900"/>
        </w:tabs>
        <w:spacing w:line="360" w:lineRule="auto"/>
        <w:rPr>
          <w:rFonts w:ascii="宋体" w:hAnsi="宋体" w:cs="宋体"/>
          <w:b/>
          <w:szCs w:val="21"/>
          <w:highlight w:val="none"/>
        </w:rPr>
      </w:pPr>
      <w:r>
        <w:rPr>
          <w:rFonts w:hint="eastAsia" w:ascii="宋体" w:hAnsi="宋体" w:cs="宋体"/>
          <w:b/>
          <w:szCs w:val="21"/>
          <w:highlight w:val="none"/>
        </w:rPr>
        <w:t>（2）供应商严禁采用EFT系统(广东金融结算系统)方式缴纳竞争性磋商保证，如采用此方式导致招投标系统无法识别缴纳账号信息的，视为未按要求缴纳保证金，由此造成后果由供应商自行承担责任。</w:t>
      </w:r>
    </w:p>
    <w:p>
      <w:pPr>
        <w:pStyle w:val="5"/>
        <w:numPr>
          <w:ilvl w:val="2"/>
          <w:numId w:val="2"/>
        </w:numPr>
        <w:tabs>
          <w:tab w:val="clear" w:pos="851"/>
        </w:tabs>
        <w:ind w:left="0" w:firstLine="540"/>
        <w:rPr>
          <w:rFonts w:hAnsi="宋体" w:cs="宋体"/>
          <w:szCs w:val="21"/>
          <w:highlight w:val="none"/>
        </w:rPr>
      </w:pPr>
      <w:bookmarkStart w:id="1690" w:name="_Toc469512669"/>
      <w:bookmarkStart w:id="1691" w:name="_Toc1629"/>
      <w:bookmarkStart w:id="1692" w:name="_Toc497687594"/>
      <w:bookmarkStart w:id="1693" w:name="_Toc526766028"/>
      <w:bookmarkStart w:id="1694" w:name="_Toc3887"/>
      <w:bookmarkStart w:id="1695" w:name="_Toc17818"/>
      <w:bookmarkStart w:id="1696" w:name="_Toc519164542"/>
      <w:bookmarkStart w:id="1697" w:name="_Toc532567221"/>
      <w:bookmarkStart w:id="1698" w:name="_Toc469512895"/>
      <w:bookmarkStart w:id="1699" w:name="_Toc30853"/>
      <w:bookmarkStart w:id="1700" w:name="_Toc30767"/>
      <w:bookmarkStart w:id="1701" w:name="_Toc21951"/>
      <w:bookmarkStart w:id="1702" w:name="_Toc502737304"/>
      <w:bookmarkStart w:id="1703" w:name="_Toc497225707"/>
      <w:bookmarkStart w:id="1704" w:name="_Toc519164396"/>
      <w:bookmarkStart w:id="1705" w:name="_Toc28445"/>
      <w:r>
        <w:rPr>
          <w:rFonts w:hint="eastAsia" w:hAnsi="宋体" w:cs="宋体"/>
          <w:szCs w:val="21"/>
          <w:highlight w:val="none"/>
        </w:rPr>
        <w:t>对于成交供应商，磋商保证金将保持全部的约束力，直到成交供应商与采购人签订了合同。</w:t>
      </w:r>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p>
    <w:p>
      <w:pPr>
        <w:pStyle w:val="5"/>
        <w:numPr>
          <w:ilvl w:val="2"/>
          <w:numId w:val="2"/>
        </w:numPr>
        <w:tabs>
          <w:tab w:val="clear" w:pos="851"/>
        </w:tabs>
        <w:ind w:left="0" w:firstLine="540"/>
        <w:rPr>
          <w:rFonts w:hAnsi="宋体" w:cs="宋体"/>
          <w:szCs w:val="21"/>
          <w:highlight w:val="none"/>
        </w:rPr>
      </w:pPr>
      <w:bookmarkStart w:id="1706" w:name="_Toc12048"/>
      <w:bookmarkStart w:id="1707" w:name="_Toc9756"/>
      <w:bookmarkStart w:id="1708" w:name="_Toc497225708"/>
      <w:bookmarkStart w:id="1709" w:name="_Toc1634"/>
      <w:bookmarkStart w:id="1710" w:name="_Toc31685"/>
      <w:bookmarkStart w:id="1711" w:name="_Toc497687595"/>
      <w:bookmarkStart w:id="1712" w:name="_Toc469512896"/>
      <w:bookmarkStart w:id="1713" w:name="_Toc519164543"/>
      <w:bookmarkStart w:id="1714" w:name="_Toc532567222"/>
      <w:bookmarkStart w:id="1715" w:name="_Toc469512670"/>
      <w:bookmarkStart w:id="1716" w:name="_Toc9581"/>
      <w:bookmarkStart w:id="1717" w:name="_Toc10049"/>
      <w:bookmarkStart w:id="1718" w:name="_Toc502737305"/>
      <w:bookmarkStart w:id="1719" w:name="_Toc519164397"/>
      <w:bookmarkStart w:id="1720" w:name="_Toc526766029"/>
      <w:bookmarkStart w:id="1721" w:name="_Toc3659"/>
      <w:r>
        <w:rPr>
          <w:rFonts w:hint="eastAsia" w:hAnsi="宋体" w:cs="宋体"/>
          <w:szCs w:val="21"/>
          <w:highlight w:val="none"/>
        </w:rPr>
        <w:t>采购代理机构在成交通知书发出后的五个工作日内按采购代理机构规定程序无息退还未成交供应商的磋商保证金。采购代理机构收到成交供应商提交的合同后五个工作日内无息退还其磋商保证金。</w:t>
      </w:r>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p>
    <w:p>
      <w:pPr>
        <w:pStyle w:val="5"/>
        <w:numPr>
          <w:ilvl w:val="2"/>
          <w:numId w:val="2"/>
        </w:numPr>
        <w:tabs>
          <w:tab w:val="clear" w:pos="851"/>
        </w:tabs>
        <w:ind w:left="0" w:firstLine="540"/>
        <w:rPr>
          <w:rFonts w:hAnsi="宋体" w:cs="宋体"/>
          <w:szCs w:val="21"/>
          <w:highlight w:val="none"/>
        </w:rPr>
      </w:pPr>
      <w:bookmarkStart w:id="1722" w:name="_Toc519164544"/>
      <w:bookmarkStart w:id="1723" w:name="_Toc23458"/>
      <w:bookmarkStart w:id="1724" w:name="_Toc293"/>
      <w:bookmarkStart w:id="1725" w:name="_Toc16990"/>
      <w:bookmarkStart w:id="1726" w:name="_Toc502737306"/>
      <w:bookmarkStart w:id="1727" w:name="_Toc497225709"/>
      <w:bookmarkStart w:id="1728" w:name="_Toc469512897"/>
      <w:bookmarkStart w:id="1729" w:name="_Toc532567223"/>
      <w:bookmarkStart w:id="1730" w:name="_Toc497687596"/>
      <w:bookmarkStart w:id="1731" w:name="_Toc14508"/>
      <w:bookmarkStart w:id="1732" w:name="_Toc13626"/>
      <w:bookmarkStart w:id="1733" w:name="_Toc21996"/>
      <w:bookmarkStart w:id="1734" w:name="_Toc519164398"/>
      <w:bookmarkStart w:id="1735" w:name="_Toc469512671"/>
      <w:bookmarkStart w:id="1736" w:name="_Toc526766030"/>
      <w:bookmarkStart w:id="1737" w:name="_Toc111"/>
      <w:r>
        <w:rPr>
          <w:rFonts w:hint="eastAsia" w:hAnsi="宋体" w:cs="宋体"/>
          <w:szCs w:val="21"/>
          <w:highlight w:val="none"/>
        </w:rPr>
        <w:t>采用非电汇方式交磋商保证金的供应商，须凭保证金收据到采购代理机构办理手续。</w:t>
      </w:r>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p>
    <w:p>
      <w:pPr>
        <w:pStyle w:val="5"/>
        <w:numPr>
          <w:ilvl w:val="2"/>
          <w:numId w:val="2"/>
        </w:numPr>
        <w:tabs>
          <w:tab w:val="clear" w:pos="851"/>
        </w:tabs>
        <w:ind w:left="0" w:firstLine="540"/>
        <w:rPr>
          <w:rFonts w:hAnsi="宋体" w:cs="宋体"/>
          <w:szCs w:val="21"/>
          <w:highlight w:val="none"/>
        </w:rPr>
      </w:pPr>
      <w:bookmarkStart w:id="1738" w:name="_Toc497687597"/>
      <w:bookmarkStart w:id="1739" w:name="_Toc18673"/>
      <w:bookmarkStart w:id="1740" w:name="_Toc27148"/>
      <w:bookmarkStart w:id="1741" w:name="_Toc27258"/>
      <w:bookmarkStart w:id="1742" w:name="_Toc526766031"/>
      <w:bookmarkStart w:id="1743" w:name="_Toc519164545"/>
      <w:bookmarkStart w:id="1744" w:name="_Toc469512898"/>
      <w:bookmarkStart w:id="1745" w:name="_Toc519164399"/>
      <w:bookmarkStart w:id="1746" w:name="_Toc532567224"/>
      <w:bookmarkStart w:id="1747" w:name="_Toc469512672"/>
      <w:bookmarkStart w:id="1748" w:name="_Toc21673"/>
      <w:bookmarkStart w:id="1749" w:name="_Toc502737307"/>
      <w:bookmarkStart w:id="1750" w:name="_Toc7773"/>
      <w:bookmarkStart w:id="1751" w:name="_Toc497225710"/>
      <w:bookmarkStart w:id="1752" w:name="_Toc10367"/>
      <w:bookmarkStart w:id="1753" w:name="_Toc26732"/>
      <w:r>
        <w:rPr>
          <w:rFonts w:hint="eastAsia" w:hAnsi="宋体" w:cs="宋体"/>
          <w:szCs w:val="21"/>
          <w:highlight w:val="none"/>
        </w:rPr>
        <w:t>若有下列情况之一，供应商或成交供应商的磋商保证金不予退还：</w:t>
      </w:r>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p>
    <w:p>
      <w:pPr>
        <w:pStyle w:val="5"/>
        <w:tabs>
          <w:tab w:val="clear" w:pos="851"/>
        </w:tabs>
        <w:ind w:left="540"/>
        <w:rPr>
          <w:rFonts w:hAnsi="宋体" w:cs="宋体"/>
          <w:szCs w:val="21"/>
          <w:highlight w:val="none"/>
        </w:rPr>
      </w:pPr>
      <w:bookmarkStart w:id="1754" w:name="_Toc497225711"/>
      <w:bookmarkStart w:id="1755" w:name="_Toc469512673"/>
      <w:bookmarkStart w:id="1756" w:name="_Toc502737308"/>
      <w:bookmarkStart w:id="1757" w:name="_Toc497687598"/>
      <w:bookmarkStart w:id="1758" w:name="_Toc469512899"/>
      <w:bookmarkStart w:id="1759" w:name="_Toc6567"/>
      <w:bookmarkStart w:id="1760" w:name="_Toc2575"/>
      <w:bookmarkStart w:id="1761" w:name="_Toc519164400"/>
      <w:bookmarkStart w:id="1762" w:name="_Toc1904"/>
      <w:bookmarkStart w:id="1763" w:name="_Toc526766032"/>
      <w:bookmarkStart w:id="1764" w:name="_Toc532567225"/>
      <w:bookmarkStart w:id="1765" w:name="_Toc16701"/>
      <w:bookmarkStart w:id="1766" w:name="_Toc519164546"/>
      <w:bookmarkStart w:id="1767" w:name="_Toc2049"/>
      <w:bookmarkStart w:id="1768" w:name="_Toc13420"/>
      <w:bookmarkStart w:id="1769" w:name="_Toc11494"/>
      <w:r>
        <w:rPr>
          <w:rFonts w:hint="eastAsia" w:hAnsi="宋体" w:cs="宋体"/>
          <w:szCs w:val="21"/>
          <w:highlight w:val="none"/>
        </w:rPr>
        <w:t>（1）</w:t>
      </w:r>
      <w:bookmarkEnd w:id="1754"/>
      <w:bookmarkEnd w:id="1755"/>
      <w:bookmarkEnd w:id="1756"/>
      <w:bookmarkEnd w:id="1757"/>
      <w:bookmarkEnd w:id="1758"/>
      <w:r>
        <w:rPr>
          <w:rFonts w:hint="eastAsia" w:hAnsi="宋体" w:cs="宋体"/>
          <w:szCs w:val="21"/>
          <w:highlight w:val="none"/>
        </w:rPr>
        <w:t>供应商在磋商文件规定的</w:t>
      </w:r>
      <w:r>
        <w:rPr>
          <w:rFonts w:hint="eastAsia" w:hAnsi="宋体" w:cs="宋体"/>
          <w:szCs w:val="21"/>
          <w:highlight w:val="none"/>
          <w:lang w:val="en-US" w:eastAsia="zh-CN"/>
        </w:rPr>
        <w:t>投标</w:t>
      </w:r>
      <w:r>
        <w:rPr>
          <w:rFonts w:hint="eastAsia" w:hAnsi="宋体" w:cs="宋体"/>
          <w:szCs w:val="21"/>
          <w:highlight w:val="none"/>
        </w:rPr>
        <w:t>有效期内撤销其</w:t>
      </w:r>
      <w:r>
        <w:rPr>
          <w:rFonts w:hint="eastAsia" w:hAnsi="宋体" w:cs="宋体"/>
          <w:szCs w:val="21"/>
          <w:highlight w:val="none"/>
          <w:lang w:val="en-US" w:eastAsia="zh-CN"/>
        </w:rPr>
        <w:t>投标</w:t>
      </w:r>
      <w:r>
        <w:rPr>
          <w:rFonts w:hint="eastAsia" w:hAnsi="宋体" w:cs="宋体"/>
          <w:szCs w:val="21"/>
          <w:highlight w:val="none"/>
        </w:rPr>
        <w:t>。</w:t>
      </w:r>
      <w:bookmarkEnd w:id="1759"/>
      <w:bookmarkEnd w:id="1760"/>
      <w:bookmarkEnd w:id="1761"/>
      <w:bookmarkEnd w:id="1762"/>
      <w:bookmarkEnd w:id="1763"/>
      <w:bookmarkEnd w:id="1764"/>
      <w:bookmarkEnd w:id="1765"/>
      <w:bookmarkEnd w:id="1766"/>
      <w:bookmarkEnd w:id="1767"/>
      <w:bookmarkEnd w:id="1768"/>
      <w:bookmarkEnd w:id="1769"/>
    </w:p>
    <w:p>
      <w:pPr>
        <w:pStyle w:val="5"/>
        <w:tabs>
          <w:tab w:val="clear" w:pos="851"/>
        </w:tabs>
        <w:ind w:left="540"/>
        <w:rPr>
          <w:rFonts w:hAnsi="宋体" w:cs="宋体"/>
          <w:szCs w:val="21"/>
          <w:highlight w:val="none"/>
        </w:rPr>
      </w:pPr>
      <w:bookmarkStart w:id="1770" w:name="_Toc497687600"/>
      <w:bookmarkStart w:id="1771" w:name="_Toc469512901"/>
      <w:bookmarkStart w:id="1772" w:name="_Toc469512675"/>
      <w:bookmarkStart w:id="1773" w:name="_Toc502737310"/>
      <w:bookmarkStart w:id="1774" w:name="_Toc497225713"/>
      <w:bookmarkStart w:id="1775" w:name="_Toc532567226"/>
      <w:bookmarkStart w:id="1776" w:name="_Toc4117"/>
      <w:bookmarkStart w:id="1777" w:name="_Toc13964"/>
      <w:bookmarkStart w:id="1778" w:name="_Toc519164547"/>
      <w:bookmarkStart w:id="1779" w:name="_Toc526766033"/>
      <w:bookmarkStart w:id="1780" w:name="_Toc7699"/>
      <w:bookmarkStart w:id="1781" w:name="_Toc32296"/>
      <w:bookmarkStart w:id="1782" w:name="_Toc5824"/>
      <w:bookmarkStart w:id="1783" w:name="_Toc2612"/>
      <w:bookmarkStart w:id="1784" w:name="_Toc519164401"/>
      <w:bookmarkStart w:id="1785" w:name="_Toc787"/>
      <w:r>
        <w:rPr>
          <w:rFonts w:hint="eastAsia" w:hAnsi="宋体" w:cs="宋体"/>
          <w:szCs w:val="21"/>
          <w:highlight w:val="none"/>
        </w:rPr>
        <w:t>（2）除因不可抗力或磋商文件认可的情形以外，成交供应商不与采购人签订合同的</w:t>
      </w:r>
      <w:bookmarkEnd w:id="1770"/>
      <w:bookmarkEnd w:id="1771"/>
      <w:bookmarkEnd w:id="1772"/>
      <w:bookmarkEnd w:id="1773"/>
      <w:bookmarkEnd w:id="1774"/>
      <w:r>
        <w:rPr>
          <w:rFonts w:hint="eastAsia" w:hAnsi="宋体" w:cs="宋体"/>
          <w:szCs w:val="21"/>
          <w:highlight w:val="none"/>
        </w:rPr>
        <w:t>。</w:t>
      </w:r>
      <w:bookmarkEnd w:id="1775"/>
      <w:bookmarkEnd w:id="1776"/>
      <w:bookmarkEnd w:id="1777"/>
      <w:bookmarkEnd w:id="1778"/>
      <w:bookmarkEnd w:id="1779"/>
      <w:bookmarkEnd w:id="1780"/>
      <w:bookmarkEnd w:id="1781"/>
      <w:bookmarkEnd w:id="1782"/>
      <w:bookmarkEnd w:id="1783"/>
      <w:bookmarkEnd w:id="1784"/>
      <w:bookmarkEnd w:id="1785"/>
    </w:p>
    <w:p>
      <w:pPr>
        <w:pStyle w:val="5"/>
        <w:tabs>
          <w:tab w:val="clear" w:pos="851"/>
        </w:tabs>
        <w:spacing w:before="240" w:beforeLines="100"/>
        <w:ind w:firstLine="411" w:firstLineChars="196"/>
        <w:rPr>
          <w:rFonts w:hAnsi="宋体" w:cs="宋体"/>
          <w:szCs w:val="21"/>
          <w:highlight w:val="none"/>
        </w:rPr>
      </w:pPr>
      <w:bookmarkStart w:id="1786" w:name="_Toc20238"/>
      <w:bookmarkStart w:id="1787" w:name="_Toc497687605"/>
      <w:bookmarkStart w:id="1788" w:name="_Toc469512680"/>
      <w:bookmarkStart w:id="1789" w:name="_Toc18806"/>
      <w:bookmarkStart w:id="1790" w:name="_Toc519164402"/>
      <w:bookmarkStart w:id="1791" w:name="_Toc502737315"/>
      <w:bookmarkStart w:id="1792" w:name="_Toc1569"/>
      <w:bookmarkStart w:id="1793" w:name="_Toc30009"/>
      <w:bookmarkStart w:id="1794" w:name="_Toc532567227"/>
      <w:bookmarkStart w:id="1795" w:name="_Toc469512906"/>
      <w:bookmarkStart w:id="1796" w:name="_Toc4329"/>
      <w:bookmarkStart w:id="1797" w:name="_Toc519164548"/>
      <w:bookmarkStart w:id="1798" w:name="_Toc497225718"/>
      <w:bookmarkStart w:id="1799" w:name="_Toc20020"/>
      <w:bookmarkStart w:id="1800" w:name="_Toc526766034"/>
      <w:bookmarkStart w:id="1801" w:name="_Toc2794"/>
      <w:r>
        <w:rPr>
          <w:rFonts w:hint="eastAsia" w:hAnsi="宋体" w:cs="宋体"/>
          <w:szCs w:val="21"/>
          <w:highlight w:val="none"/>
        </w:rPr>
        <w:t xml:space="preserve">（九）  </w:t>
      </w:r>
      <w:r>
        <w:rPr>
          <w:rFonts w:hint="eastAsia" w:hAnsi="宋体" w:cs="宋体"/>
          <w:b/>
          <w:szCs w:val="21"/>
          <w:highlight w:val="none"/>
        </w:rPr>
        <w:t>竞争性磋商文件的解释权</w:t>
      </w:r>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p>
    <w:p>
      <w:pPr>
        <w:pStyle w:val="5"/>
        <w:tabs>
          <w:tab w:val="clear" w:pos="851"/>
        </w:tabs>
        <w:ind w:firstLine="472" w:firstLineChars="225"/>
        <w:rPr>
          <w:rFonts w:hAnsi="宋体" w:cs="宋体"/>
          <w:szCs w:val="21"/>
          <w:highlight w:val="none"/>
        </w:rPr>
      </w:pPr>
      <w:bookmarkStart w:id="1802" w:name="_Toc526766035"/>
      <w:bookmarkStart w:id="1803" w:name="_Toc532567228"/>
      <w:bookmarkStart w:id="1804" w:name="_Toc4698"/>
      <w:bookmarkStart w:id="1805" w:name="_Toc7257"/>
      <w:bookmarkStart w:id="1806" w:name="_Toc23602"/>
      <w:bookmarkStart w:id="1807" w:name="_Toc519164549"/>
      <w:bookmarkStart w:id="1808" w:name="_Toc497687606"/>
      <w:bookmarkStart w:id="1809" w:name="_Toc469512907"/>
      <w:bookmarkStart w:id="1810" w:name="_Toc469512681"/>
      <w:bookmarkStart w:id="1811" w:name="_Toc9971"/>
      <w:bookmarkStart w:id="1812" w:name="_Toc519164403"/>
      <w:bookmarkStart w:id="1813" w:name="_Toc26871"/>
      <w:bookmarkStart w:id="1814" w:name="_Toc502737316"/>
      <w:bookmarkStart w:id="1815" w:name="_Toc2884"/>
      <w:bookmarkStart w:id="1816" w:name="_Toc497225719"/>
      <w:bookmarkStart w:id="1817" w:name="_Toc13502"/>
      <w:r>
        <w:rPr>
          <w:rFonts w:hint="eastAsia" w:hAnsi="宋体" w:cs="宋体"/>
          <w:szCs w:val="21"/>
          <w:highlight w:val="none"/>
        </w:rPr>
        <w:t>本竞争性磋商文件由广东省机电设备招标有限公司负责解释。</w:t>
      </w:r>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Start w:id="1818" w:name="_Toc37581420"/>
      <w:bookmarkStart w:id="1819" w:name="_Toc37663391"/>
      <w:bookmarkStart w:id="1820" w:name="_Toc37245276"/>
      <w:bookmarkStart w:id="1821" w:name="_Toc98579010"/>
      <w:bookmarkStart w:id="1822" w:name="_Toc98035088"/>
      <w:bookmarkStart w:id="1823" w:name="_Toc40762370"/>
      <w:bookmarkStart w:id="1824" w:name="_Toc50276156"/>
      <w:bookmarkStart w:id="1825" w:name="_Toc37569519"/>
      <w:bookmarkStart w:id="1826" w:name="_Toc37331038"/>
      <w:bookmarkStart w:id="1827" w:name="_Toc37331080"/>
      <w:bookmarkStart w:id="1828" w:name="_Toc46308527"/>
      <w:bookmarkStart w:id="1829" w:name="_Toc98579068"/>
      <w:bookmarkStart w:id="1830" w:name="_Toc50276195"/>
      <w:bookmarkStart w:id="1831" w:name="_Toc98580292"/>
      <w:bookmarkStart w:id="1832" w:name="_Toc46308683"/>
      <w:bookmarkStart w:id="1833" w:name="_Toc98579609"/>
    </w:p>
    <w:p>
      <w:pPr>
        <w:pStyle w:val="4"/>
        <w:spacing w:line="360" w:lineRule="auto"/>
        <w:rPr>
          <w:rFonts w:ascii="宋体" w:hAnsi="宋体" w:cs="宋体"/>
          <w:highlight w:val="none"/>
        </w:rPr>
      </w:pPr>
    </w:p>
    <w:p>
      <w:pPr>
        <w:pStyle w:val="3"/>
        <w:numPr>
          <w:ilvl w:val="0"/>
          <w:numId w:val="2"/>
        </w:numPr>
        <w:ind w:left="567" w:hanging="27"/>
        <w:jc w:val="left"/>
        <w:rPr>
          <w:rFonts w:hAnsi="宋体"/>
          <w:b/>
          <w:bCs/>
          <w:sz w:val="21"/>
          <w:szCs w:val="21"/>
          <w:highlight w:val="none"/>
        </w:rPr>
      </w:pPr>
      <w:bookmarkStart w:id="1834" w:name="_Toc20635"/>
      <w:bookmarkStart w:id="1835" w:name="_Toc531796098"/>
      <w:bookmarkStart w:id="1836" w:name="_Toc30960"/>
      <w:bookmarkStart w:id="1837" w:name="_Toc515886657"/>
      <w:bookmarkStart w:id="1838" w:name="_Toc524355918"/>
      <w:bookmarkStart w:id="1839" w:name="_Toc31675"/>
      <w:bookmarkStart w:id="1840" w:name="_Toc508036149"/>
      <w:bookmarkStart w:id="1841" w:name="_Toc27146"/>
      <w:bookmarkStart w:id="1842" w:name="_Toc508619487"/>
      <w:bookmarkStart w:id="1843" w:name="_Toc8575"/>
      <w:bookmarkStart w:id="1844" w:name="_Toc516153591"/>
      <w:bookmarkStart w:id="1845" w:name="_Toc14037"/>
      <w:bookmarkStart w:id="1846" w:name="_Toc32111"/>
      <w:bookmarkStart w:id="1847" w:name="_Toc4587"/>
      <w:r>
        <w:rPr>
          <w:rFonts w:hint="eastAsia" w:hAnsi="宋体"/>
          <w:b/>
          <w:bCs/>
          <w:sz w:val="21"/>
          <w:szCs w:val="21"/>
          <w:highlight w:val="none"/>
        </w:rPr>
        <w:t>适用法律</w:t>
      </w:r>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p>
    <w:p>
      <w:pPr>
        <w:pStyle w:val="4"/>
        <w:spacing w:line="360" w:lineRule="auto"/>
        <w:rPr>
          <w:rFonts w:ascii="宋体" w:hAnsi="宋体" w:cs="宋体"/>
          <w:highlight w:val="none"/>
        </w:rPr>
      </w:pPr>
      <w:bookmarkStart w:id="1848" w:name="_Toc516153592"/>
      <w:bookmarkStart w:id="1849" w:name="_Toc508619488"/>
      <w:bookmarkStart w:id="1850" w:name="_Toc531796099"/>
      <w:bookmarkStart w:id="1851" w:name="_Toc508036150"/>
      <w:bookmarkStart w:id="1852" w:name="_Toc515886658"/>
      <w:r>
        <w:rPr>
          <w:rFonts w:hint="eastAsia" w:ascii="宋体" w:hAnsi="宋体"/>
          <w:szCs w:val="21"/>
          <w:highlight w:val="none"/>
        </w:rPr>
        <w:t>采购人、采购代理机构及供应商的一切招标投标活动均参考适用《政府采购竞争性磋商采购方式管理暂行办法》</w:t>
      </w:r>
      <w:r>
        <w:rPr>
          <w:rFonts w:hint="eastAsia" w:ascii="宋体" w:hAnsi="宋体"/>
          <w:szCs w:val="21"/>
          <w:highlight w:val="none"/>
          <w:lang w:eastAsia="zh-CN"/>
        </w:rPr>
        <w:t>、《政府采购非招标采购方式管理办法》</w:t>
      </w:r>
      <w:r>
        <w:rPr>
          <w:rFonts w:hint="eastAsia" w:ascii="宋体" w:hAnsi="宋体"/>
          <w:szCs w:val="21"/>
          <w:highlight w:val="none"/>
        </w:rPr>
        <w:t>及其配套的法规、规章、政策。</w:t>
      </w:r>
      <w:bookmarkEnd w:id="1848"/>
      <w:bookmarkEnd w:id="1849"/>
      <w:bookmarkEnd w:id="1850"/>
      <w:bookmarkEnd w:id="1851"/>
      <w:bookmarkEnd w:id="1852"/>
    </w:p>
    <w:p>
      <w:pPr>
        <w:pStyle w:val="4"/>
        <w:spacing w:line="360" w:lineRule="auto"/>
        <w:rPr>
          <w:rFonts w:ascii="宋体" w:hAnsi="宋体" w:cs="宋体"/>
          <w:highlight w:val="none"/>
        </w:rPr>
      </w:pPr>
    </w:p>
    <w:p>
      <w:pPr>
        <w:pStyle w:val="4"/>
        <w:spacing w:line="360" w:lineRule="auto"/>
        <w:rPr>
          <w:rFonts w:ascii="宋体" w:hAnsi="宋体" w:cs="宋体"/>
          <w:highlight w:val="none"/>
        </w:rPr>
      </w:pPr>
    </w:p>
    <w:p>
      <w:pPr>
        <w:pStyle w:val="2"/>
        <w:numPr>
          <w:ilvl w:val="0"/>
          <w:numId w:val="4"/>
        </w:numPr>
        <w:spacing w:before="200" w:after="200" w:line="360" w:lineRule="auto"/>
        <w:jc w:val="center"/>
        <w:rPr>
          <w:rFonts w:ascii="宋体" w:hAnsi="宋体" w:cs="宋体"/>
          <w:sz w:val="24"/>
          <w:szCs w:val="24"/>
          <w:highlight w:val="none"/>
        </w:rPr>
      </w:pPr>
      <w:r>
        <w:rPr>
          <w:rFonts w:hint="eastAsia" w:ascii="宋体" w:hAnsi="宋体" w:cs="宋体"/>
          <w:sz w:val="24"/>
          <w:szCs w:val="24"/>
          <w:highlight w:val="none"/>
        </w:rPr>
        <w:br w:type="page"/>
      </w:r>
      <w:bookmarkStart w:id="1853" w:name="_Toc17711"/>
      <w:bookmarkEnd w:id="1853"/>
      <w:bookmarkStart w:id="1854" w:name="_Toc16390"/>
      <w:bookmarkEnd w:id="1854"/>
      <w:bookmarkStart w:id="1855" w:name="_Toc32088"/>
      <w:bookmarkEnd w:id="1855"/>
      <w:bookmarkStart w:id="1856" w:name="_Toc11150"/>
      <w:bookmarkEnd w:id="1856"/>
      <w:bookmarkStart w:id="1857" w:name="_Toc20059"/>
      <w:bookmarkEnd w:id="1857"/>
      <w:bookmarkStart w:id="1858" w:name="_Toc101951257"/>
      <w:bookmarkStart w:id="1859" w:name="_Toc101843124"/>
      <w:bookmarkStart w:id="1860" w:name="_Toc175644388"/>
      <w:bookmarkStart w:id="1861" w:name="_Toc101775124"/>
      <w:bookmarkStart w:id="1862" w:name="_Toc101771371"/>
      <w:bookmarkStart w:id="1863" w:name="_Toc469512908"/>
      <w:bookmarkStart w:id="1864" w:name="_Toc14275"/>
      <w:bookmarkStart w:id="1865" w:name="_Toc497225720"/>
      <w:bookmarkStart w:id="1866" w:name="_Toc502737317"/>
      <w:bookmarkStart w:id="1867" w:name="_Toc519164404"/>
      <w:bookmarkStart w:id="1868" w:name="_Toc497687607"/>
      <w:bookmarkStart w:id="1869" w:name="_Toc469512682"/>
      <w:bookmarkStart w:id="1870" w:name="_Toc532567229"/>
      <w:bookmarkStart w:id="1871" w:name="_Toc526766036"/>
      <w:bookmarkStart w:id="1872" w:name="_Toc519164550"/>
      <w:bookmarkStart w:id="1873" w:name="_Toc29477"/>
      <w:bookmarkStart w:id="1874" w:name="_Toc1114"/>
      <w:bookmarkStart w:id="1875" w:name="_Toc4067"/>
    </w:p>
    <w:p>
      <w:pPr>
        <w:pStyle w:val="2"/>
        <w:spacing w:before="0" w:after="0" w:line="360" w:lineRule="auto"/>
        <w:jc w:val="center"/>
        <w:rPr>
          <w:rFonts w:ascii="宋体" w:hAnsi="宋体" w:cs="宋体"/>
          <w:sz w:val="24"/>
          <w:szCs w:val="24"/>
          <w:highlight w:val="none"/>
        </w:rPr>
      </w:pPr>
      <w:bookmarkStart w:id="1876" w:name="_Toc9302"/>
      <w:bookmarkStart w:id="1877" w:name="_Toc10969"/>
      <w:bookmarkStart w:id="1878" w:name="_Toc21633"/>
      <w:bookmarkStart w:id="1879" w:name="_Toc17144"/>
      <w:r>
        <w:rPr>
          <w:rFonts w:hint="eastAsia" w:ascii="宋体" w:hAnsi="宋体" w:cs="宋体"/>
          <w:sz w:val="24"/>
          <w:szCs w:val="24"/>
          <w:highlight w:val="none"/>
        </w:rPr>
        <w:t xml:space="preserve">第二章 </w:t>
      </w:r>
      <w:r>
        <w:rPr>
          <w:rFonts w:hint="eastAsia" w:ascii="宋体" w:hAnsi="宋体" w:cs="宋体"/>
          <w:sz w:val="24"/>
          <w:szCs w:val="24"/>
          <w:highlight w:val="none"/>
          <w:lang w:val="en-US" w:eastAsia="zh-CN"/>
        </w:rPr>
        <w:t>用户</w:t>
      </w:r>
      <w:r>
        <w:rPr>
          <w:rFonts w:hint="eastAsia" w:ascii="宋体" w:hAnsi="宋体" w:cs="宋体"/>
          <w:sz w:val="24"/>
          <w:szCs w:val="24"/>
          <w:highlight w:val="none"/>
        </w:rPr>
        <w:t>需求</w:t>
      </w:r>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58"/>
      <w:bookmarkEnd w:id="1859"/>
      <w:bookmarkEnd w:id="1860"/>
      <w:bookmarkEnd w:id="1861"/>
      <w:bookmarkEnd w:id="1862"/>
      <w:bookmarkStart w:id="1880" w:name="_Toc46308528"/>
      <w:bookmarkStart w:id="1881" w:name="_Toc37331039"/>
      <w:bookmarkStart w:id="1882" w:name="_Toc37663392"/>
      <w:bookmarkStart w:id="1883" w:name="_Toc37245277"/>
      <w:bookmarkStart w:id="1884" w:name="_Toc37581421"/>
      <w:bookmarkStart w:id="1885" w:name="_Toc46308684"/>
      <w:bookmarkStart w:id="1886" w:name="_Toc40762371"/>
      <w:bookmarkStart w:id="1887" w:name="_Toc37569520"/>
      <w:bookmarkStart w:id="1888" w:name="_Toc37331081"/>
      <w:r>
        <w:rPr>
          <w:rFonts w:hint="eastAsia" w:ascii="宋体" w:hAnsi="宋体" w:cs="宋体"/>
          <w:sz w:val="24"/>
          <w:szCs w:val="24"/>
          <w:highlight w:val="none"/>
        </w:rPr>
        <w:t>书</w:t>
      </w:r>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p>
    <w:p>
      <w:pPr>
        <w:pStyle w:val="2"/>
        <w:spacing w:before="200" w:after="200" w:line="360" w:lineRule="auto"/>
        <w:jc w:val="both"/>
        <w:rPr>
          <w:sz w:val="24"/>
          <w:szCs w:val="24"/>
          <w:highlight w:val="none"/>
        </w:rPr>
      </w:pPr>
    </w:p>
    <w:p>
      <w:pPr>
        <w:adjustRightInd w:val="0"/>
        <w:snapToGrid w:val="0"/>
        <w:spacing w:line="360" w:lineRule="auto"/>
        <w:rPr>
          <w:rFonts w:asciiTheme="majorEastAsia" w:hAnsiTheme="majorEastAsia" w:eastAsiaTheme="majorEastAsia" w:cstheme="majorEastAsia"/>
          <w:b/>
          <w:bCs/>
          <w:szCs w:val="21"/>
          <w:highlight w:val="none"/>
          <w:lang w:val="zh-CN"/>
        </w:rPr>
      </w:pPr>
      <w:r>
        <w:rPr>
          <w:rFonts w:hint="eastAsia" w:ascii="宋体" w:hAnsi="宋体"/>
          <w:b/>
          <w:bCs/>
          <w:szCs w:val="21"/>
          <w:highlight w:val="none"/>
          <w:lang w:val="zh-CN"/>
        </w:rPr>
        <w:t>一、项目概述</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为适应高水平大学建设需要，加强对教学科研耗材和相关服务采购的监督管理，我校拟引入具备网上直购、网上询价</w:t>
      </w:r>
      <w:r>
        <w:rPr>
          <w:rFonts w:hint="eastAsia" w:asciiTheme="majorEastAsia" w:hAnsiTheme="majorEastAsia" w:eastAsiaTheme="majorEastAsia" w:cstheme="majorEastAsia"/>
          <w:szCs w:val="21"/>
          <w:highlight w:val="none"/>
        </w:rPr>
        <w:t>和</w:t>
      </w:r>
      <w:r>
        <w:rPr>
          <w:rFonts w:hint="eastAsia" w:asciiTheme="majorEastAsia" w:hAnsiTheme="majorEastAsia" w:eastAsiaTheme="majorEastAsia" w:cstheme="majorEastAsia"/>
          <w:szCs w:val="21"/>
          <w:highlight w:val="none"/>
          <w:lang w:val="zh-CN"/>
        </w:rPr>
        <w:t>网上竞价等多种采购方式的电商平台，服务于教学科研耗材和相关服务的采购。</w:t>
      </w:r>
    </w:p>
    <w:p>
      <w:pPr>
        <w:adjustRightInd w:val="0"/>
        <w:snapToGrid w:val="0"/>
        <w:spacing w:line="360" w:lineRule="auto"/>
        <w:rPr>
          <w:rFonts w:asciiTheme="majorEastAsia" w:hAnsiTheme="majorEastAsia" w:eastAsiaTheme="majorEastAsia" w:cstheme="majorEastAsia"/>
          <w:b/>
          <w:bCs/>
          <w:szCs w:val="21"/>
          <w:highlight w:val="none"/>
          <w:lang w:val="zh-CN"/>
        </w:rPr>
      </w:pPr>
    </w:p>
    <w:p>
      <w:pPr>
        <w:adjustRightInd w:val="0"/>
        <w:snapToGrid w:val="0"/>
        <w:spacing w:line="360" w:lineRule="auto"/>
        <w:rPr>
          <w:rFonts w:asciiTheme="majorEastAsia" w:hAnsiTheme="majorEastAsia" w:eastAsiaTheme="majorEastAsia" w:cstheme="majorEastAsia"/>
          <w:b/>
          <w:bCs/>
          <w:szCs w:val="21"/>
          <w:highlight w:val="none"/>
          <w:lang w:val="zh-CN"/>
        </w:rPr>
      </w:pPr>
      <w:r>
        <w:rPr>
          <w:rFonts w:hint="eastAsia" w:asciiTheme="majorEastAsia" w:hAnsiTheme="majorEastAsia" w:eastAsiaTheme="majorEastAsia" w:cstheme="majorEastAsia"/>
          <w:b/>
          <w:bCs/>
          <w:szCs w:val="21"/>
          <w:highlight w:val="none"/>
          <w:lang w:val="zh-CN"/>
        </w:rPr>
        <w:t>二、项目说明</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（一）供应商须对同一采购项目的全部需求进行整体响应，任何只对项目内其中一部分需求进行响应的都被视为无效投标。</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（二）</w:t>
      </w:r>
      <w:r>
        <w:rPr>
          <w:rFonts w:hint="eastAsia" w:asciiTheme="majorEastAsia" w:hAnsiTheme="majorEastAsia" w:eastAsiaTheme="majorEastAsia" w:cstheme="majorEastAsia"/>
          <w:szCs w:val="21"/>
          <w:highlight w:val="none"/>
        </w:rPr>
        <w:t>招标文件</w:t>
      </w:r>
      <w:r>
        <w:rPr>
          <w:rFonts w:hint="eastAsia" w:asciiTheme="majorEastAsia" w:hAnsiTheme="majorEastAsia" w:eastAsiaTheme="majorEastAsia" w:cstheme="majorEastAsia"/>
          <w:szCs w:val="21"/>
          <w:highlight w:val="none"/>
          <w:lang w:val="zh-CN"/>
        </w:rPr>
        <w:t>中</w:t>
      </w:r>
      <w:r>
        <w:rPr>
          <w:rFonts w:hint="eastAsia" w:asciiTheme="majorEastAsia" w:hAnsiTheme="majorEastAsia" w:eastAsiaTheme="majorEastAsia" w:cstheme="majorEastAsia"/>
          <w:szCs w:val="21"/>
          <w:highlight w:val="none"/>
        </w:rPr>
        <w:t>加注</w:t>
      </w:r>
      <w:r>
        <w:rPr>
          <w:rFonts w:hint="eastAsia" w:asciiTheme="majorEastAsia" w:hAnsiTheme="majorEastAsia" w:eastAsiaTheme="majorEastAsia" w:cstheme="majorEastAsia"/>
          <w:szCs w:val="21"/>
          <w:highlight w:val="none"/>
          <w:lang w:val="zh-CN"/>
        </w:rPr>
        <w:t>“★”号条款为实质性条款，供应商如有任何一条负偏离则导致投标无效。</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（三）评标办法：综合评分法。</w:t>
      </w:r>
    </w:p>
    <w:p>
      <w:pPr>
        <w:adjustRightInd w:val="0"/>
        <w:snapToGrid w:val="0"/>
        <w:spacing w:line="360" w:lineRule="auto"/>
        <w:ind w:firstLine="420" w:firstLineChars="200"/>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lang w:val="zh-CN"/>
        </w:rPr>
        <w:t>（四）引入电商平台数量：</w:t>
      </w:r>
      <w:r>
        <w:rPr>
          <w:rFonts w:hint="eastAsia" w:ascii="宋体" w:hAnsi="宋体" w:eastAsia="宋体" w:cs="宋体"/>
          <w:szCs w:val="21"/>
          <w:highlight w:val="none"/>
          <w:lang w:val="zh-CN"/>
        </w:rPr>
        <w:t>≤</w:t>
      </w:r>
      <w:r>
        <w:rPr>
          <w:rFonts w:hint="eastAsia" w:asciiTheme="majorEastAsia" w:hAnsiTheme="majorEastAsia" w:eastAsiaTheme="majorEastAsia" w:cstheme="majorEastAsia"/>
          <w:szCs w:val="21"/>
          <w:highlight w:val="none"/>
          <w:lang w:val="zh-CN"/>
        </w:rPr>
        <w:t>2家。</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（五）服务期限：3年。采购人不保证在电商平台最低采购金额，若遇行业政策调整或需求变更，采购人有权提前终止合同。</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（六）安装地点：采购人指定地点。</w:t>
      </w:r>
    </w:p>
    <w:p>
      <w:pPr>
        <w:adjustRightInd w:val="0"/>
        <w:snapToGrid w:val="0"/>
        <w:spacing w:line="360" w:lineRule="auto"/>
        <w:rPr>
          <w:rFonts w:asciiTheme="majorEastAsia" w:hAnsiTheme="majorEastAsia" w:eastAsiaTheme="majorEastAsia" w:cstheme="majorEastAsia"/>
          <w:b/>
          <w:bCs/>
          <w:szCs w:val="21"/>
          <w:highlight w:val="none"/>
          <w:lang w:val="zh-CN"/>
        </w:rPr>
      </w:pPr>
    </w:p>
    <w:p>
      <w:pPr>
        <w:adjustRightInd w:val="0"/>
        <w:snapToGrid w:val="0"/>
        <w:spacing w:line="360" w:lineRule="auto"/>
        <w:rPr>
          <w:rFonts w:asciiTheme="majorEastAsia" w:hAnsiTheme="majorEastAsia" w:eastAsiaTheme="majorEastAsia" w:cstheme="majorEastAsia"/>
          <w:b/>
          <w:bCs/>
          <w:szCs w:val="21"/>
          <w:highlight w:val="none"/>
          <w:lang w:val="zh-CN"/>
        </w:rPr>
      </w:pPr>
      <w:r>
        <w:rPr>
          <w:rFonts w:hint="eastAsia" w:asciiTheme="majorEastAsia" w:hAnsiTheme="majorEastAsia" w:eastAsiaTheme="majorEastAsia" w:cstheme="majorEastAsia"/>
          <w:b/>
          <w:bCs/>
          <w:szCs w:val="21"/>
          <w:highlight w:val="none"/>
          <w:lang w:val="zh-CN"/>
        </w:rPr>
        <w:t>三、服务内容及要求</w:t>
      </w:r>
    </w:p>
    <w:p>
      <w:pPr>
        <w:adjustRightInd w:val="0"/>
        <w:snapToGrid w:val="0"/>
        <w:spacing w:line="360" w:lineRule="auto"/>
        <w:ind w:firstLine="422" w:firstLineChars="200"/>
        <w:rPr>
          <w:rFonts w:asciiTheme="majorEastAsia" w:hAnsiTheme="majorEastAsia" w:eastAsiaTheme="majorEastAsia" w:cstheme="majorEastAsia"/>
          <w:b/>
          <w:bCs/>
          <w:szCs w:val="21"/>
          <w:highlight w:val="none"/>
          <w:u w:val="single"/>
          <w:lang w:val="zh-CN"/>
        </w:rPr>
      </w:pPr>
      <w:r>
        <w:rPr>
          <w:rFonts w:hint="eastAsia" w:asciiTheme="majorEastAsia" w:hAnsiTheme="majorEastAsia" w:eastAsiaTheme="majorEastAsia" w:cstheme="majorEastAsia"/>
          <w:b/>
          <w:bCs/>
          <w:szCs w:val="21"/>
          <w:highlight w:val="none"/>
          <w:u w:val="single"/>
          <w:lang w:val="zh-CN"/>
        </w:rPr>
        <w:t>★（一）供应商须承诺提供的电商平台符合中华人民共和国国家相关标准，能够根据实际需要开发相应的数据交换模块，能够在合同生效后</w:t>
      </w:r>
      <w:r>
        <w:rPr>
          <w:rFonts w:hint="eastAsia" w:asciiTheme="majorEastAsia" w:hAnsiTheme="majorEastAsia" w:eastAsiaTheme="majorEastAsia" w:cstheme="majorEastAsia"/>
          <w:b/>
          <w:bCs/>
          <w:szCs w:val="21"/>
          <w:highlight w:val="none"/>
          <w:u w:val="single"/>
        </w:rPr>
        <w:t>两</w:t>
      </w:r>
      <w:r>
        <w:rPr>
          <w:rFonts w:hint="eastAsia" w:asciiTheme="majorEastAsia" w:hAnsiTheme="majorEastAsia" w:eastAsiaTheme="majorEastAsia" w:cstheme="majorEastAsia"/>
          <w:b/>
          <w:bCs/>
          <w:szCs w:val="21"/>
          <w:highlight w:val="none"/>
          <w:u w:val="single"/>
          <w:lang w:val="zh-CN"/>
        </w:rPr>
        <w:t>个月内完成与学校统一身份认证系统无缝对接和试运用，能够实现与学校耗材采购管理</w:t>
      </w:r>
      <w:r>
        <w:rPr>
          <w:rFonts w:hint="eastAsia" w:asciiTheme="majorEastAsia" w:hAnsiTheme="majorEastAsia" w:eastAsiaTheme="majorEastAsia" w:cstheme="majorEastAsia"/>
          <w:b/>
          <w:bCs/>
          <w:szCs w:val="21"/>
          <w:highlight w:val="none"/>
          <w:u w:val="single"/>
        </w:rPr>
        <w:t>系统</w:t>
      </w:r>
      <w:r>
        <w:rPr>
          <w:rFonts w:hint="eastAsia" w:asciiTheme="majorEastAsia" w:hAnsiTheme="majorEastAsia" w:eastAsiaTheme="majorEastAsia" w:cstheme="majorEastAsia"/>
          <w:b/>
          <w:bCs/>
          <w:szCs w:val="21"/>
          <w:highlight w:val="none"/>
          <w:u w:val="single"/>
          <w:lang w:val="zh-CN"/>
        </w:rPr>
        <w:t>、</w:t>
      </w:r>
      <w:r>
        <w:rPr>
          <w:rFonts w:hint="eastAsia" w:asciiTheme="majorEastAsia" w:hAnsiTheme="majorEastAsia" w:eastAsiaTheme="majorEastAsia" w:cstheme="majorEastAsia"/>
          <w:b/>
          <w:bCs/>
          <w:szCs w:val="21"/>
          <w:highlight w:val="none"/>
          <w:u w:val="single"/>
        </w:rPr>
        <w:t>财务系统</w:t>
      </w:r>
      <w:r>
        <w:rPr>
          <w:rFonts w:hint="eastAsia" w:asciiTheme="majorEastAsia" w:hAnsiTheme="majorEastAsia" w:eastAsiaTheme="majorEastAsia" w:cstheme="majorEastAsia"/>
          <w:b/>
          <w:bCs/>
          <w:szCs w:val="21"/>
          <w:highlight w:val="none"/>
          <w:u w:val="single"/>
          <w:lang w:val="zh-CN"/>
        </w:rPr>
        <w:t>等系统对接，能够根据采购人的流程和功能需要，进行免费升级改造。</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（二）供应商须承诺应根据其所投电商平台的标准、功能和流程，结合采购人的需求，设计出切实可行的电商平台解决方案并进行详细说明，最大限度地满足采购人的各项需求。</w:t>
      </w:r>
    </w:p>
    <w:p>
      <w:pPr>
        <w:adjustRightInd w:val="0"/>
        <w:snapToGrid w:val="0"/>
        <w:spacing w:line="360" w:lineRule="auto"/>
        <w:ind w:firstLine="422" w:firstLineChars="200"/>
        <w:rPr>
          <w:rFonts w:asciiTheme="majorEastAsia" w:hAnsiTheme="majorEastAsia" w:eastAsiaTheme="majorEastAsia" w:cstheme="majorEastAsia"/>
          <w:b/>
          <w:bCs/>
          <w:szCs w:val="21"/>
          <w:highlight w:val="none"/>
          <w:u w:val="single"/>
          <w:lang w:val="zh-CN"/>
        </w:rPr>
      </w:pPr>
      <w:r>
        <w:rPr>
          <w:rFonts w:hint="eastAsia" w:asciiTheme="majorEastAsia" w:hAnsiTheme="majorEastAsia" w:eastAsiaTheme="majorEastAsia" w:cstheme="majorEastAsia"/>
          <w:b/>
          <w:bCs/>
          <w:szCs w:val="21"/>
          <w:highlight w:val="none"/>
          <w:u w:val="single"/>
          <w:lang w:val="zh-CN"/>
        </w:rPr>
        <w:t>★（三）供应商须承诺做好平台供应商的管理工作，严格审查平台供应商的资格，保证平台供应商具有相应的经营资质，符合国家法律法规。确保平台上提供的货物或服务符合国家相关产业政策和行业标准，且必须是原厂原装、有质量保证、符合国家“三包”政策，不得销售假冒伪劣产品。</w:t>
      </w:r>
    </w:p>
    <w:p>
      <w:pPr>
        <w:adjustRightInd w:val="0"/>
        <w:snapToGrid w:val="0"/>
        <w:spacing w:line="360" w:lineRule="auto"/>
        <w:ind w:firstLine="422" w:firstLineChars="200"/>
        <w:rPr>
          <w:rFonts w:asciiTheme="majorEastAsia" w:hAnsiTheme="majorEastAsia" w:eastAsiaTheme="majorEastAsia" w:cstheme="majorEastAsia"/>
          <w:b/>
          <w:bCs/>
          <w:szCs w:val="21"/>
          <w:highlight w:val="none"/>
          <w:u w:val="single"/>
          <w:lang w:val="zh-CN"/>
        </w:rPr>
      </w:pPr>
      <w:r>
        <w:rPr>
          <w:rFonts w:hint="eastAsia" w:asciiTheme="majorEastAsia" w:hAnsiTheme="majorEastAsia" w:eastAsiaTheme="majorEastAsia" w:cstheme="majorEastAsia"/>
          <w:b/>
          <w:bCs/>
          <w:szCs w:val="21"/>
          <w:highlight w:val="none"/>
          <w:u w:val="single"/>
          <w:lang w:val="zh-CN"/>
        </w:rPr>
        <w:t>★（四）电商平台上的采购活动须接受学校相关部门的管理和监督，遵守相关采购管理办法的规定；采购业务的结算按照学校的相关规定执行。</w:t>
      </w:r>
    </w:p>
    <w:p>
      <w:pPr>
        <w:adjustRightInd w:val="0"/>
        <w:snapToGrid w:val="0"/>
        <w:spacing w:line="360" w:lineRule="auto"/>
        <w:ind w:firstLine="422" w:firstLineChars="200"/>
        <w:rPr>
          <w:rFonts w:asciiTheme="majorEastAsia" w:hAnsiTheme="majorEastAsia" w:eastAsiaTheme="majorEastAsia" w:cstheme="majorEastAsia"/>
          <w:b/>
          <w:bCs/>
          <w:szCs w:val="21"/>
          <w:highlight w:val="none"/>
          <w:lang w:val="zh-CN"/>
        </w:rPr>
      </w:pPr>
      <w:r>
        <w:rPr>
          <w:rFonts w:hint="eastAsia" w:asciiTheme="majorEastAsia" w:hAnsiTheme="majorEastAsia" w:eastAsiaTheme="majorEastAsia" w:cstheme="majorEastAsia"/>
          <w:b/>
          <w:bCs/>
          <w:szCs w:val="21"/>
          <w:highlight w:val="none"/>
          <w:lang w:val="zh-CN"/>
        </w:rPr>
        <w:t>▲（五）供应商须承诺应为本项目设置一个不少于5人的工作组，项目工作组中须设有项目负责人，该负责人须具有相应技术职称并具有负责同类项目的领导经验，负责管理和协调各项工作，不得随意更换。工作组成员须在投标前已在该公司购买社保满半年。</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六）供应商须承诺为本项目设置的工作组成员不得随意更换，如需更换，必须提前一周书面通知采购人，取得采购人签字同意后方可换人。如自行更换，采购人将有权暂停电商平台的全部工作，由此造成的损失或延误由供应商自行承担。</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（七）供应商须承诺在与采购人签订合同后1个月内，向采购人提交本项目履约保证金人民币3万元整。如在服务期限内无违约情况，且电商平台无质量问题（</w:t>
      </w:r>
      <w:r>
        <w:rPr>
          <w:rFonts w:hint="eastAsia" w:asciiTheme="majorEastAsia" w:hAnsiTheme="majorEastAsia" w:eastAsiaTheme="majorEastAsia" w:cstheme="majorEastAsia"/>
          <w:szCs w:val="21"/>
          <w:highlight w:val="none"/>
        </w:rPr>
        <w:t>交易及纠纷处理完毕）</w:t>
      </w:r>
      <w:r>
        <w:rPr>
          <w:rFonts w:hint="eastAsia" w:asciiTheme="majorEastAsia" w:hAnsiTheme="majorEastAsia" w:eastAsiaTheme="majorEastAsia" w:cstheme="majorEastAsia"/>
          <w:szCs w:val="21"/>
          <w:highlight w:val="none"/>
          <w:lang w:val="zh-CN"/>
        </w:rPr>
        <w:t>，在服务期限满后，供应商凭相关单据提出申请，采购人应在15个工作日内将履约保证金无息退还。</w:t>
      </w:r>
    </w:p>
    <w:p>
      <w:pPr>
        <w:adjustRightInd w:val="0"/>
        <w:snapToGrid w:val="0"/>
        <w:spacing w:line="360" w:lineRule="auto"/>
        <w:ind w:firstLine="422" w:firstLineChars="200"/>
        <w:rPr>
          <w:rFonts w:asciiTheme="majorEastAsia" w:hAnsiTheme="majorEastAsia" w:eastAsiaTheme="majorEastAsia" w:cstheme="majorEastAsia"/>
          <w:b/>
          <w:bCs/>
          <w:szCs w:val="21"/>
          <w:highlight w:val="none"/>
          <w:lang w:val="zh-CN"/>
        </w:rPr>
      </w:pPr>
      <w:r>
        <w:rPr>
          <w:rFonts w:hint="eastAsia" w:asciiTheme="majorEastAsia" w:hAnsiTheme="majorEastAsia" w:eastAsiaTheme="majorEastAsia" w:cstheme="majorEastAsia"/>
          <w:b/>
          <w:bCs/>
          <w:szCs w:val="21"/>
          <w:highlight w:val="none"/>
          <w:lang w:val="zh-CN"/>
        </w:rPr>
        <w:t>▲（八）供应商须承诺提供每天24小时的电话服务专线和免费技术支持，对采购人的服务通知，必须在接报后2小时内响应，4小时内处理完毕，保证平台的平稳运行。如因电商平台技术问题或其他原因（不可抗力情况除外）导致电商平台不能正常提供服务，供应商应及时修复，如超过7天仍无法正常使用，采购人有权单方面终止合同，并没收履约保证金。</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（九）供应商须承诺根据采购人的要求提供免费的培训服务，直至采购人全面掌握使用方法。如遇采购方人员变动，供应商要根据采购人要求，无条件提供免费培训服务。</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（十）为避免电商平台对平台供应商收费过高，导致为我校提供的货物或服务定价和质量受到影响，电商平台对平台供应商的收费应具备合理性。供应商须提供对平台供应商的各类收费标准和详细的收费方案。</w:t>
      </w:r>
    </w:p>
    <w:p>
      <w:pPr>
        <w:adjustRightInd w:val="0"/>
        <w:snapToGrid w:val="0"/>
        <w:spacing w:line="360" w:lineRule="auto"/>
        <w:rPr>
          <w:rFonts w:asciiTheme="majorEastAsia" w:hAnsiTheme="majorEastAsia" w:eastAsiaTheme="majorEastAsia" w:cstheme="majorEastAsia"/>
          <w:b/>
          <w:bCs/>
          <w:szCs w:val="21"/>
          <w:highlight w:val="none"/>
          <w:lang w:val="zh-CN"/>
        </w:rPr>
      </w:pPr>
    </w:p>
    <w:p>
      <w:pPr>
        <w:adjustRightInd w:val="0"/>
        <w:snapToGrid w:val="0"/>
        <w:spacing w:line="360" w:lineRule="auto"/>
        <w:rPr>
          <w:rFonts w:asciiTheme="majorEastAsia" w:hAnsiTheme="majorEastAsia" w:eastAsiaTheme="majorEastAsia" w:cstheme="majorEastAsia"/>
          <w:b/>
          <w:bCs/>
          <w:szCs w:val="21"/>
          <w:highlight w:val="none"/>
          <w:lang w:val="zh-CN"/>
        </w:rPr>
      </w:pPr>
      <w:r>
        <w:rPr>
          <w:rFonts w:hint="eastAsia" w:asciiTheme="majorEastAsia" w:hAnsiTheme="majorEastAsia" w:eastAsiaTheme="majorEastAsia" w:cstheme="majorEastAsia"/>
          <w:b/>
          <w:bCs/>
          <w:szCs w:val="21"/>
          <w:highlight w:val="none"/>
          <w:lang w:val="zh-CN"/>
        </w:rPr>
        <w:t>四、技术要求</w:t>
      </w:r>
    </w:p>
    <w:p>
      <w:pPr>
        <w:adjustRightInd w:val="0"/>
        <w:snapToGrid w:val="0"/>
        <w:spacing w:line="360" w:lineRule="auto"/>
        <w:ind w:firstLine="422" w:firstLineChars="200"/>
        <w:rPr>
          <w:rFonts w:asciiTheme="majorEastAsia" w:hAnsiTheme="majorEastAsia" w:eastAsiaTheme="majorEastAsia" w:cstheme="majorEastAsia"/>
          <w:b/>
          <w:bCs/>
          <w:szCs w:val="21"/>
          <w:highlight w:val="none"/>
          <w:lang w:val="zh-CN"/>
        </w:rPr>
      </w:pPr>
      <w:r>
        <w:rPr>
          <w:rFonts w:hint="eastAsia" w:asciiTheme="majorEastAsia" w:hAnsiTheme="majorEastAsia" w:eastAsiaTheme="majorEastAsia" w:cstheme="majorEastAsia"/>
          <w:b/>
          <w:bCs/>
          <w:szCs w:val="21"/>
          <w:highlight w:val="none"/>
          <w:lang w:val="zh-CN"/>
        </w:rPr>
        <w:t>（一）总体技术要求：</w:t>
      </w:r>
    </w:p>
    <w:p>
      <w:pPr>
        <w:adjustRightInd w:val="0"/>
        <w:snapToGrid w:val="0"/>
        <w:spacing w:line="360" w:lineRule="auto"/>
        <w:ind w:firstLine="422" w:firstLineChars="200"/>
        <w:rPr>
          <w:rFonts w:asciiTheme="majorEastAsia" w:hAnsiTheme="majorEastAsia" w:eastAsiaTheme="majorEastAsia" w:cstheme="majorEastAsia"/>
          <w:b/>
          <w:bCs/>
          <w:szCs w:val="21"/>
          <w:highlight w:val="none"/>
        </w:rPr>
      </w:pPr>
      <w:r>
        <w:rPr>
          <w:rFonts w:hint="eastAsia" w:asciiTheme="majorEastAsia" w:hAnsiTheme="majorEastAsia" w:eastAsiaTheme="majorEastAsia" w:cstheme="majorEastAsia"/>
          <w:b/>
          <w:bCs/>
          <w:szCs w:val="21"/>
          <w:highlight w:val="none"/>
          <w:lang w:val="zh-CN"/>
        </w:rPr>
        <w:t>▲1、安全保密性强，能防范来自操作系统、数据库系统、应用系统、网络的干扰，抵御病毒的侵袭。可靠性高，稳定性强，能够防范灾难性故障。</w:t>
      </w:r>
      <w:r>
        <w:rPr>
          <w:rFonts w:hint="eastAsia" w:asciiTheme="majorEastAsia" w:hAnsiTheme="majorEastAsia" w:eastAsiaTheme="majorEastAsia" w:cstheme="majorEastAsia"/>
          <w:b/>
          <w:bCs/>
          <w:szCs w:val="21"/>
          <w:highlight w:val="none"/>
        </w:rPr>
        <w:t>确保数据安全和系统安全。</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2、提供全面、丰富的数据分析方法，图表形式简洁直观，能多角度反映各种数据资料。</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3、提供可靠安全的数据备份及恢复功能。</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4、具有严密、完整的操作权限管理和日志管理，按照登录用户可以区分身份，做到功能级和数据级的两级控制，并且可以分析用户的操作访问日志，以便为下一步系统优化和调整作依据。</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5、具有相应的容错手段，提供群集技术来防止单点故障及支持负载均衡。</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6、提供移动办公应用，支持目前主流的IOS、ANDROID等操作系统的移动设备。</w:t>
      </w:r>
    </w:p>
    <w:p>
      <w:pPr>
        <w:adjustRightInd w:val="0"/>
        <w:snapToGrid w:val="0"/>
        <w:spacing w:line="360" w:lineRule="auto"/>
        <w:ind w:firstLine="422" w:firstLineChars="200"/>
        <w:rPr>
          <w:rFonts w:asciiTheme="majorEastAsia" w:hAnsiTheme="majorEastAsia" w:eastAsiaTheme="majorEastAsia" w:cstheme="majorEastAsia"/>
          <w:b/>
          <w:bCs/>
          <w:szCs w:val="21"/>
          <w:highlight w:val="none"/>
          <w:u w:val="single"/>
        </w:rPr>
      </w:pPr>
      <w:r>
        <w:rPr>
          <w:rFonts w:hint="eastAsia" w:asciiTheme="majorEastAsia" w:hAnsiTheme="majorEastAsia" w:eastAsiaTheme="majorEastAsia" w:cstheme="majorEastAsia"/>
          <w:b/>
          <w:bCs/>
          <w:szCs w:val="21"/>
          <w:highlight w:val="none"/>
          <w:u w:val="single"/>
          <w:lang w:val="zh-CN"/>
        </w:rPr>
        <w:t>★7、</w:t>
      </w:r>
      <w:r>
        <w:rPr>
          <w:rFonts w:hint="eastAsia" w:asciiTheme="majorEastAsia" w:hAnsiTheme="majorEastAsia" w:eastAsiaTheme="majorEastAsia" w:cstheme="majorEastAsia"/>
          <w:b/>
          <w:bCs/>
          <w:szCs w:val="21"/>
          <w:highlight w:val="none"/>
          <w:u w:val="single"/>
        </w:rPr>
        <w:t>能够按照学校要求导出采购数据（提供承诺函，格式见竞争性磋商文件第五章）。</w:t>
      </w:r>
    </w:p>
    <w:p>
      <w:pPr>
        <w:adjustRightInd w:val="0"/>
        <w:snapToGrid w:val="0"/>
        <w:spacing w:line="360" w:lineRule="auto"/>
        <w:ind w:firstLine="422" w:firstLineChars="200"/>
        <w:rPr>
          <w:rFonts w:asciiTheme="majorEastAsia" w:hAnsiTheme="majorEastAsia" w:eastAsiaTheme="majorEastAsia" w:cstheme="majorEastAsia"/>
          <w:b/>
          <w:bCs/>
          <w:szCs w:val="21"/>
          <w:highlight w:val="none"/>
          <w:lang w:val="zh-CN"/>
        </w:rPr>
      </w:pPr>
      <w:r>
        <w:rPr>
          <w:rFonts w:hint="eastAsia" w:asciiTheme="majorEastAsia" w:hAnsiTheme="majorEastAsia" w:eastAsiaTheme="majorEastAsia" w:cstheme="majorEastAsia"/>
          <w:b/>
          <w:bCs/>
          <w:szCs w:val="21"/>
          <w:highlight w:val="none"/>
          <w:lang w:val="zh-CN"/>
        </w:rPr>
        <w:t>（二）功能要求</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1、基本功能要求：</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（1）电商平台能提供严格按各级经费管理（含科研）、存货管理及风险防控要求设计，符合行业内部控制、财务审核和专项审计检查要求的管理系统。</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（2）在采购流程设置“选择耗材（</w:t>
      </w:r>
      <w:r>
        <w:rPr>
          <w:rFonts w:hint="eastAsia" w:asciiTheme="majorEastAsia" w:hAnsiTheme="majorEastAsia" w:eastAsiaTheme="majorEastAsia" w:cstheme="majorEastAsia"/>
          <w:szCs w:val="21"/>
          <w:highlight w:val="none"/>
        </w:rPr>
        <w:t>商品</w:t>
      </w:r>
      <w:r>
        <w:rPr>
          <w:rFonts w:hint="eastAsia" w:asciiTheme="majorEastAsia" w:hAnsiTheme="majorEastAsia" w:eastAsiaTheme="majorEastAsia" w:cstheme="majorEastAsia"/>
          <w:szCs w:val="21"/>
          <w:highlight w:val="none"/>
          <w:lang w:val="zh-CN"/>
        </w:rPr>
        <w:t>）→发起采购任务→审批→与平台供应商协商议价→确定采购→冻结预算→货到验收→结算报销”环节（具体可根据采购方要求进行设计和完善），保障整个采购前、中、后程序规范，控制严密，过程透明，责任明晰。</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（3）电商平台以第三方电子商务的形式实现，电商平台内货物或服务明码标价，有完整的货物或服务基本信息，包括但不限于品牌、规格、价格、生产地、生成日期、有效期、内外包装彩页等。</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（4）提供品类齐全的货物或服务，能基本满足学校耗材采购需求，并可根据学校用户需求不断补充完善平台供应商库、</w:t>
      </w:r>
      <w:r>
        <w:rPr>
          <w:rFonts w:hint="eastAsia" w:asciiTheme="majorEastAsia" w:hAnsiTheme="majorEastAsia" w:eastAsiaTheme="majorEastAsia" w:cstheme="majorEastAsia"/>
          <w:szCs w:val="21"/>
          <w:highlight w:val="none"/>
        </w:rPr>
        <w:t>定期更新产品库</w:t>
      </w:r>
      <w:r>
        <w:rPr>
          <w:rFonts w:hint="eastAsia" w:asciiTheme="majorEastAsia" w:hAnsiTheme="majorEastAsia" w:eastAsiaTheme="majorEastAsia" w:cstheme="majorEastAsia"/>
          <w:szCs w:val="21"/>
          <w:highlight w:val="none"/>
          <w:lang w:val="zh-CN"/>
        </w:rPr>
        <w:t>。货物或服务具体包括</w:t>
      </w:r>
      <w:r>
        <w:rPr>
          <w:rFonts w:hint="eastAsia" w:asciiTheme="majorEastAsia" w:hAnsiTheme="majorEastAsia" w:eastAsiaTheme="majorEastAsia" w:cstheme="majorEastAsia"/>
          <w:szCs w:val="21"/>
          <w:highlight w:val="none"/>
        </w:rPr>
        <w:t>但不限于</w:t>
      </w:r>
      <w:r>
        <w:rPr>
          <w:rFonts w:hint="eastAsia" w:asciiTheme="majorEastAsia" w:hAnsiTheme="majorEastAsia" w:eastAsiaTheme="majorEastAsia" w:cstheme="majorEastAsia"/>
          <w:szCs w:val="21"/>
          <w:highlight w:val="none"/>
          <w:lang w:val="zh-CN"/>
        </w:rPr>
        <w:t>如下范围：</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①科研用的试剂、耗材、实验动植物等低值易耗品以及小型科研仪器设备；</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②科研相关服务，包括：高通量测试、常规测序、基因组合成、免疫印记试验、蛋白质组学检测、动物模型建构等；</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③教学用的低值易耗品等。</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w:t>
      </w:r>
      <w:r>
        <w:rPr>
          <w:rFonts w:hint="eastAsia" w:asciiTheme="majorEastAsia" w:hAnsiTheme="majorEastAsia" w:eastAsiaTheme="majorEastAsia" w:cstheme="majorEastAsia"/>
          <w:szCs w:val="21"/>
          <w:highlight w:val="none"/>
        </w:rPr>
        <w:t>5</w:t>
      </w:r>
      <w:r>
        <w:rPr>
          <w:rFonts w:hint="eastAsia" w:asciiTheme="majorEastAsia" w:hAnsiTheme="majorEastAsia" w:eastAsiaTheme="majorEastAsia" w:cstheme="majorEastAsia"/>
          <w:szCs w:val="21"/>
          <w:highlight w:val="none"/>
          <w:lang w:val="zh-CN"/>
        </w:rPr>
        <w:t>）对平台供应商提供货物或服务预审，按学校要求对采购人用户进行限制性提供货物或服务，包括：</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①政府集中采购机构采购项目的品目；</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②纳入广东省教育部门协议</w:t>
      </w:r>
      <w:r>
        <w:rPr>
          <w:rFonts w:hint="eastAsia" w:asciiTheme="majorEastAsia" w:hAnsiTheme="majorEastAsia" w:eastAsiaTheme="majorEastAsia" w:cstheme="majorEastAsia"/>
          <w:szCs w:val="21"/>
          <w:highlight w:val="none"/>
        </w:rPr>
        <w:t>供货</w:t>
      </w:r>
      <w:r>
        <w:rPr>
          <w:rFonts w:hint="eastAsia" w:asciiTheme="majorEastAsia" w:hAnsiTheme="majorEastAsia" w:eastAsiaTheme="majorEastAsia" w:cstheme="majorEastAsia"/>
          <w:szCs w:val="21"/>
          <w:highlight w:val="none"/>
          <w:lang w:val="zh-CN"/>
        </w:rPr>
        <w:t>采购的品目，包括教学专用仪器、中文电子资源库、外文电子资源库、体育器材及设备、教学乐器及文艺设备、教学家具和实验室危险废物回收处置服务；</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③国内无直销或代理商，且通过中国海关报关验放进入中国境内且产自关境外的产品；</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④国家管控类的放射性同位素、危险化学品、易制毒、易制爆、实验用致病性微生物、实验用药品等。</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2、具体功能要求：</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（1）产品展示系统。电商平台产品展示系统能将平台供应商提供的产品进行合理分类，有条理、图文并茂地展示给浏览者。</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①产品目录：电商平台通过产品目录展示货物或服务信息，管理员可对产品目录进行维护。</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②产品搜索：用户可以根据产品目录进行模糊搜索。也可以根据产品名称，型号，品牌，平台供应商名称等精确搜索。并可选择按品牌、销量、价格、供应商、好评度等多种排序方式。</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（2）用户管理系统：</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电商平台须与学校统一身份认证系统（单点登录）进行数据对接，支持包括学校采购用户、供应商用户、管理员在内的多种人员身份并满足不同人员进行权限设置，可设置满足学校要求的管理和审批流程。</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①新增用户：支持用户直接使用统一身份认证账户登录，用于识别经过统一身份认证平台认证的用户是否有权限使用本系统。</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②用户管理：管理用户数据库中的用户登录权限，此操作不对已产生的申购记录、采购记录等历史记录产生影响。</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（3）网上直购系统：</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①电商平台须实现网上直购功能，且可设置网上直购业务系统的适用限额标准。</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②电商平台实现网站浏览者在线订购，订购过程轻松、快捷、方便。</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bookmarkStart w:id="2452" w:name="_GoBack"/>
      <w:bookmarkEnd w:id="2452"/>
      <w:r>
        <w:rPr>
          <w:rFonts w:hint="eastAsia" w:asciiTheme="majorEastAsia" w:hAnsiTheme="majorEastAsia" w:eastAsiaTheme="majorEastAsia" w:cstheme="majorEastAsia"/>
          <w:szCs w:val="21"/>
          <w:highlight w:val="none"/>
          <w:lang w:val="zh-CN"/>
        </w:rPr>
        <w:t>③发起订购：用户选择货物或服务进行订购。</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④临时订购单：暂时储存要订购的货物或服务，相当于网上购物的购物车。</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⑤待提交订购单：需要提交交易的订购单，可以进行删除和修改。</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⑥订单审核：根据学校管理流程设定的待交易的订单审批流程。</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⑦待配送订购单：平台供应商需要进行配送的订购单。</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⑧待收货订购单：用户对已经配送的货物或服务进行收货入库。</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⑨订购历史：所有已经完成交易的订购单。</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⑩支持采购单导出。</w:t>
      </w:r>
    </w:p>
    <w:p>
      <w:pPr>
        <w:adjustRightInd w:val="0"/>
        <w:snapToGrid w:val="0"/>
        <w:spacing w:line="360" w:lineRule="auto"/>
        <w:ind w:firstLine="422" w:firstLineChars="200"/>
        <w:rPr>
          <w:rFonts w:asciiTheme="majorEastAsia" w:hAnsiTheme="majorEastAsia" w:eastAsiaTheme="majorEastAsia" w:cstheme="majorEastAsia"/>
          <w:b/>
          <w:bCs/>
          <w:szCs w:val="21"/>
          <w:highlight w:val="none"/>
          <w:lang w:val="zh-CN"/>
        </w:rPr>
      </w:pPr>
      <w:r>
        <w:rPr>
          <w:rFonts w:hint="eastAsia" w:asciiTheme="majorEastAsia" w:hAnsiTheme="majorEastAsia" w:eastAsiaTheme="majorEastAsia" w:cstheme="majorEastAsia"/>
          <w:b/>
          <w:bCs/>
          <w:szCs w:val="21"/>
          <w:highlight w:val="none"/>
          <w:lang w:val="zh-CN"/>
        </w:rPr>
        <w:t>▲（4）供应商管理系统：</w:t>
      </w:r>
      <w:r>
        <w:rPr>
          <w:rFonts w:hint="eastAsia" w:asciiTheme="majorEastAsia" w:hAnsiTheme="majorEastAsia" w:eastAsiaTheme="majorEastAsia" w:cstheme="majorEastAsia"/>
          <w:b/>
          <w:bCs/>
          <w:szCs w:val="21"/>
          <w:highlight w:val="none"/>
        </w:rPr>
        <w:t>电商平台</w:t>
      </w:r>
      <w:r>
        <w:rPr>
          <w:rFonts w:hint="eastAsia" w:asciiTheme="majorEastAsia" w:hAnsiTheme="majorEastAsia" w:eastAsiaTheme="majorEastAsia" w:cstheme="majorEastAsia"/>
          <w:b/>
          <w:bCs/>
          <w:szCs w:val="21"/>
          <w:highlight w:val="none"/>
          <w:lang w:val="zh-CN"/>
        </w:rPr>
        <w:t>应确保平台供应商规范、诚信经营，确保平台供应商网上供货价格不高于线下商品价格，并利用平台的优势为用户单位的科研用户争取更优惠的价格。</w:t>
      </w:r>
    </w:p>
    <w:p>
      <w:pPr>
        <w:adjustRightInd w:val="0"/>
        <w:snapToGrid w:val="0"/>
        <w:spacing w:line="360" w:lineRule="auto"/>
        <w:ind w:firstLine="422" w:firstLineChars="200"/>
        <w:rPr>
          <w:rFonts w:asciiTheme="majorEastAsia" w:hAnsiTheme="majorEastAsia" w:eastAsiaTheme="majorEastAsia" w:cstheme="majorEastAsia"/>
          <w:b/>
          <w:bCs/>
          <w:szCs w:val="21"/>
          <w:highlight w:val="none"/>
          <w:lang w:val="zh-CN"/>
        </w:rPr>
      </w:pPr>
      <w:r>
        <w:rPr>
          <w:rFonts w:hint="eastAsia" w:asciiTheme="majorEastAsia" w:hAnsiTheme="majorEastAsia" w:eastAsiaTheme="majorEastAsia" w:cstheme="majorEastAsia"/>
          <w:b/>
          <w:bCs/>
          <w:szCs w:val="21"/>
          <w:highlight w:val="none"/>
          <w:lang w:val="zh-CN"/>
        </w:rPr>
        <w:t>①供应商资质审核：平台供应商能够填写公司基本信息、工商信息、资质信息并上传资质附件，电商平台管理人员可以在系统审核公司资质，选择通过或拒绝；资质过期，系统自动取消平台供应商资格并下架该平台供应商所有货物或服务；</w:t>
      </w:r>
    </w:p>
    <w:p>
      <w:pPr>
        <w:adjustRightInd w:val="0"/>
        <w:snapToGrid w:val="0"/>
        <w:spacing w:line="360" w:lineRule="auto"/>
        <w:ind w:firstLine="422" w:firstLineChars="200"/>
        <w:rPr>
          <w:rFonts w:asciiTheme="majorEastAsia" w:hAnsiTheme="majorEastAsia" w:eastAsiaTheme="majorEastAsia" w:cstheme="majorEastAsia"/>
          <w:b/>
          <w:bCs/>
          <w:szCs w:val="21"/>
          <w:highlight w:val="none"/>
          <w:lang w:val="zh-CN"/>
        </w:rPr>
      </w:pPr>
      <w:r>
        <w:rPr>
          <w:rFonts w:hint="eastAsia" w:asciiTheme="majorEastAsia" w:hAnsiTheme="majorEastAsia" w:eastAsiaTheme="majorEastAsia" w:cstheme="majorEastAsia"/>
          <w:b/>
          <w:bCs/>
          <w:szCs w:val="21"/>
          <w:highlight w:val="none"/>
          <w:lang w:val="zh-CN"/>
        </w:rPr>
        <w:t>②供应商日常管理：对平台供应商采取协议控制管理，通过有效手段监督平台供应商不得售卖假冒伪劣产品、不允许售价高于线下价格、防止开具虚假发票或不真实交易；如平台供应商违反相关规定，电商平台现行的平台供应商管理制度中须具备对于平台供应商违法违规行为进行责任处理和处罚的具体措施，包括但不限于货物或服务退换、差价赔偿、经济处罚、下架、关闭店铺、终止合作等。</w:t>
      </w:r>
    </w:p>
    <w:p>
      <w:pPr>
        <w:adjustRightInd w:val="0"/>
        <w:snapToGrid w:val="0"/>
        <w:spacing w:line="360" w:lineRule="auto"/>
        <w:ind w:firstLine="422" w:firstLineChars="200"/>
        <w:rPr>
          <w:rFonts w:asciiTheme="majorEastAsia" w:hAnsiTheme="majorEastAsia" w:eastAsiaTheme="majorEastAsia" w:cstheme="majorEastAsia"/>
          <w:b/>
          <w:bCs/>
          <w:szCs w:val="21"/>
          <w:highlight w:val="none"/>
          <w:lang w:val="zh-CN"/>
        </w:rPr>
      </w:pPr>
      <w:r>
        <w:rPr>
          <w:rFonts w:hint="eastAsia" w:asciiTheme="majorEastAsia" w:hAnsiTheme="majorEastAsia" w:eastAsiaTheme="majorEastAsia" w:cstheme="majorEastAsia"/>
          <w:b/>
          <w:bCs/>
          <w:szCs w:val="21"/>
          <w:highlight w:val="none"/>
          <w:lang w:val="zh-CN"/>
        </w:rPr>
        <w:t>③供应商须承诺提供现行平台供应商管理制度和细则，和相关内容公示的商城网页截图，以及不少于20份与平台供应商签订的协议（含相关条款）扫描件作为证明材料（证明材料须加盖供应商公章）。</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（5）审核和管理系统：</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①审核：只有通过审核的平台供应商才可以上传、发售、更新、停售货物或服务，上传发售的货物或服务符合学校的限制性要求；系统可以自动屏蔽、过滤学校所要求的多种字段关键字，保证销售类别的范围，避免违规、限制品流入校内；当采购的货物或服务出现质量问题，如无法确定责任方，电商平台承诺在5个工作日内先行赔付给采购人用户；如最终仍无法确定责任方，也由电商平台承担损失。</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②管理：系统内建立准确、较完整的化学品目录，保证化学品的唯一性以利甄别和安全监管，目录需及时更新升级。</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（6）合同管理系统：</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电商平台具备合同管理功能，能根据采购人用户需求，平台供应商按模板编写、导出合同。合同信息包括：合同基本信息（合同名称，合同金额，送货地点，付款方式等）以及合同产品信息。</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（7）收发货管理系统：</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①发货确认：平台供应商接收到订购清单后，对清单货品进行配送，并生成送货单。</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②配送信息：平台供应商可额外录入配送信息，包括：物流公司、运单号、客服电话等。</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③收货确认：采购人用户依据订购清单和送货单对配送的货品进行确认。</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（8）查询与统计系统。电商平台能对供应商、教师、管理员用户所涉及的申购信息的综合查询统计，提供给不同用户一个整体的统计信息。</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①申购统计：可根据用户、平台供应商、申购种类、申购时间段、单价、数量等进行分类统计。</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②询价统计：可根据年份/季度、平台供应商、成交金额、产品类别进行数据统计。</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③订购统计：可根据平台供应商、货品种类、订购时间段、单价、数量、平均送货时间进行分类统计。</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（9）提供留言管理系统。能够收集各方反馈的信息。</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（10）提供在线客服系统。具有网页直接对话功能。</w:t>
      </w:r>
    </w:p>
    <w:p>
      <w:pPr>
        <w:adjustRightInd w:val="0"/>
        <w:snapToGrid w:val="0"/>
        <w:spacing w:line="360" w:lineRule="auto"/>
        <w:ind w:firstLine="422" w:firstLineChars="200"/>
        <w:rPr>
          <w:rFonts w:asciiTheme="majorEastAsia" w:hAnsiTheme="majorEastAsia" w:eastAsiaTheme="majorEastAsia" w:cstheme="majorEastAsia"/>
          <w:b/>
          <w:bCs/>
          <w:szCs w:val="21"/>
          <w:highlight w:val="none"/>
          <w:lang w:val="zh-CN"/>
        </w:rPr>
      </w:pPr>
      <w:r>
        <w:rPr>
          <w:rFonts w:hint="eastAsia" w:asciiTheme="majorEastAsia" w:hAnsiTheme="majorEastAsia" w:eastAsiaTheme="majorEastAsia" w:cstheme="majorEastAsia"/>
          <w:b/>
          <w:bCs/>
          <w:szCs w:val="21"/>
          <w:highlight w:val="none"/>
          <w:lang w:val="zh-CN"/>
        </w:rPr>
        <w:t>（三）性能要求：</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1、日均访问量达到10万人次时，浏览器页面平均刷新时间</w:t>
      </w:r>
      <w:r>
        <w:rPr>
          <w:rFonts w:hint="eastAsia" w:ascii="宋体" w:hAnsi="宋体" w:cs="宋体"/>
          <w:szCs w:val="21"/>
          <w:highlight w:val="none"/>
          <w:lang w:val="zh-CN"/>
        </w:rPr>
        <w:t>≤</w:t>
      </w:r>
      <w:r>
        <w:rPr>
          <w:rFonts w:hint="eastAsia" w:asciiTheme="majorEastAsia" w:hAnsiTheme="majorEastAsia" w:eastAsiaTheme="majorEastAsia" w:cstheme="majorEastAsia"/>
          <w:szCs w:val="21"/>
          <w:highlight w:val="none"/>
          <w:lang w:val="zh-CN"/>
        </w:rPr>
        <w:t>3秒；</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2、内部业务系统在1万名教工人员同时使用时，浏览器页面响应时延</w:t>
      </w:r>
      <w:r>
        <w:rPr>
          <w:rFonts w:hint="eastAsia" w:ascii="宋体" w:hAnsi="宋体" w:cs="宋体"/>
          <w:szCs w:val="21"/>
          <w:highlight w:val="none"/>
          <w:lang w:val="zh-CN"/>
        </w:rPr>
        <w:t>≤</w:t>
      </w:r>
      <w:r>
        <w:rPr>
          <w:rFonts w:hint="eastAsia" w:asciiTheme="majorEastAsia" w:hAnsiTheme="majorEastAsia" w:eastAsiaTheme="majorEastAsia" w:cstheme="majorEastAsia"/>
          <w:szCs w:val="21"/>
          <w:highlight w:val="none"/>
          <w:lang w:val="zh-CN"/>
        </w:rPr>
        <w:t>3秒；</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3、允许</w:t>
      </w:r>
      <w:r>
        <w:rPr>
          <w:rFonts w:hint="eastAsia" w:asciiTheme="majorEastAsia" w:hAnsiTheme="majorEastAsia" w:eastAsiaTheme="majorEastAsia" w:cstheme="majorEastAsia"/>
          <w:szCs w:val="21"/>
          <w:highlight w:val="none"/>
        </w:rPr>
        <w:t>8</w:t>
      </w:r>
      <w:r>
        <w:rPr>
          <w:rFonts w:hint="eastAsia" w:asciiTheme="majorEastAsia" w:hAnsiTheme="majorEastAsia" w:eastAsiaTheme="majorEastAsia" w:cstheme="majorEastAsia"/>
          <w:szCs w:val="21"/>
          <w:highlight w:val="none"/>
          <w:lang w:val="zh-CN"/>
        </w:rPr>
        <w:t>00个同时并发用户数；</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4、Web交互式信息查询响应时间：</w:t>
      </w:r>
      <w:r>
        <w:rPr>
          <w:rFonts w:hint="eastAsia" w:ascii="宋体" w:hAnsi="宋体" w:cs="宋体"/>
          <w:szCs w:val="21"/>
          <w:highlight w:val="none"/>
          <w:lang w:val="zh-CN"/>
        </w:rPr>
        <w:t>＜</w:t>
      </w:r>
      <w:r>
        <w:rPr>
          <w:rFonts w:hint="eastAsia" w:ascii="宋体" w:hAnsi="宋体" w:cs="宋体"/>
          <w:szCs w:val="21"/>
          <w:highlight w:val="none"/>
        </w:rPr>
        <w:t>6</w:t>
      </w:r>
      <w:r>
        <w:rPr>
          <w:rFonts w:hint="eastAsia" w:asciiTheme="majorEastAsia" w:hAnsiTheme="majorEastAsia" w:eastAsiaTheme="majorEastAsia" w:cstheme="majorEastAsia"/>
          <w:szCs w:val="21"/>
          <w:highlight w:val="none"/>
          <w:lang w:val="zh-CN"/>
        </w:rPr>
        <w:t>秒；</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rPr>
        <w:t>5</w:t>
      </w:r>
      <w:r>
        <w:rPr>
          <w:rFonts w:hint="eastAsia" w:asciiTheme="majorEastAsia" w:hAnsiTheme="majorEastAsia" w:eastAsiaTheme="majorEastAsia" w:cstheme="majorEastAsia"/>
          <w:szCs w:val="21"/>
          <w:highlight w:val="none"/>
          <w:lang w:val="zh-CN"/>
        </w:rPr>
        <w:t>、系统平均无故障时间：MTBF≥1000小时。</w:t>
      </w:r>
    </w:p>
    <w:p>
      <w:pPr>
        <w:adjustRightInd w:val="0"/>
        <w:snapToGrid w:val="0"/>
        <w:spacing w:line="360" w:lineRule="auto"/>
        <w:ind w:firstLine="422" w:firstLineChars="200"/>
        <w:rPr>
          <w:rFonts w:asciiTheme="majorEastAsia" w:hAnsiTheme="majorEastAsia" w:eastAsiaTheme="majorEastAsia" w:cstheme="majorEastAsia"/>
          <w:b/>
          <w:bCs/>
          <w:szCs w:val="21"/>
          <w:highlight w:val="none"/>
          <w:lang w:val="zh-CN"/>
        </w:rPr>
      </w:pPr>
      <w:r>
        <w:rPr>
          <w:rFonts w:hint="eastAsia" w:asciiTheme="majorEastAsia" w:hAnsiTheme="majorEastAsia" w:eastAsiaTheme="majorEastAsia" w:cstheme="majorEastAsia"/>
          <w:b/>
          <w:bCs/>
          <w:szCs w:val="21"/>
          <w:highlight w:val="none"/>
          <w:lang w:val="zh-CN"/>
        </w:rPr>
        <w:t>（四）安全保障要求：</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1、数据安全：校内用户数据可根据学校需求导入校内数据中心，同时不可向第三方公布或使用。</w:t>
      </w:r>
    </w:p>
    <w:p>
      <w:pPr>
        <w:adjustRightInd w:val="0"/>
        <w:snapToGrid w:val="0"/>
        <w:spacing w:line="360" w:lineRule="auto"/>
        <w:ind w:firstLine="420" w:firstLineChars="200"/>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2</w:t>
      </w:r>
      <w:r>
        <w:rPr>
          <w:rFonts w:hint="eastAsia" w:asciiTheme="majorEastAsia" w:hAnsiTheme="majorEastAsia" w:eastAsiaTheme="majorEastAsia" w:cstheme="majorEastAsia"/>
          <w:szCs w:val="21"/>
          <w:highlight w:val="none"/>
          <w:lang w:val="zh-CN"/>
        </w:rPr>
        <w:t>、电商平台应按学校要求定期提供校内用户在交易中产生的数据包括但不限于交易数据、操作数据等。</w:t>
      </w:r>
    </w:p>
    <w:p>
      <w:pPr>
        <w:adjustRightInd w:val="0"/>
        <w:snapToGrid w:val="0"/>
        <w:spacing w:line="360" w:lineRule="auto"/>
        <w:ind w:firstLine="420" w:firstLineChars="200"/>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3</w:t>
      </w:r>
      <w:r>
        <w:rPr>
          <w:rFonts w:hint="eastAsia" w:asciiTheme="majorEastAsia" w:hAnsiTheme="majorEastAsia" w:eastAsiaTheme="majorEastAsia" w:cstheme="majorEastAsia"/>
          <w:szCs w:val="21"/>
          <w:highlight w:val="none"/>
          <w:lang w:val="zh-CN"/>
        </w:rPr>
        <w:t>、在接到采购人服务请求或者监控警</w:t>
      </w:r>
      <w:r>
        <w:rPr>
          <w:rFonts w:hint="eastAsia" w:asciiTheme="majorEastAsia" w:hAnsiTheme="majorEastAsia" w:eastAsiaTheme="majorEastAsia" w:cstheme="majorEastAsia"/>
          <w:szCs w:val="21"/>
          <w:highlight w:val="none"/>
        </w:rPr>
        <w:t>告</w:t>
      </w:r>
      <w:r>
        <w:rPr>
          <w:rFonts w:hint="eastAsia" w:asciiTheme="majorEastAsia" w:hAnsiTheme="majorEastAsia" w:eastAsiaTheme="majorEastAsia" w:cstheme="majorEastAsia"/>
          <w:szCs w:val="21"/>
          <w:highlight w:val="none"/>
          <w:lang w:val="zh-CN"/>
        </w:rPr>
        <w:t>时会迅速对事件进行定性并通知相关部门启动应急流程，</w:t>
      </w:r>
      <w:r>
        <w:rPr>
          <w:rFonts w:hint="eastAsia" w:asciiTheme="majorEastAsia" w:hAnsiTheme="majorEastAsia" w:eastAsiaTheme="majorEastAsia" w:cstheme="majorEastAsia"/>
          <w:szCs w:val="21"/>
          <w:highlight w:val="none"/>
        </w:rPr>
        <w:t>确保采购人利益不受损。</w:t>
      </w:r>
    </w:p>
    <w:p>
      <w:pPr>
        <w:adjustRightInd w:val="0"/>
        <w:snapToGrid w:val="0"/>
        <w:spacing w:line="360" w:lineRule="auto"/>
        <w:rPr>
          <w:rFonts w:asciiTheme="majorEastAsia" w:hAnsiTheme="majorEastAsia" w:eastAsiaTheme="majorEastAsia" w:cstheme="majorEastAsia"/>
          <w:b/>
          <w:bCs/>
          <w:szCs w:val="21"/>
          <w:highlight w:val="none"/>
          <w:lang w:val="zh-CN"/>
        </w:rPr>
      </w:pPr>
    </w:p>
    <w:p>
      <w:pPr>
        <w:adjustRightInd w:val="0"/>
        <w:snapToGrid w:val="0"/>
        <w:spacing w:line="360" w:lineRule="auto"/>
        <w:rPr>
          <w:rFonts w:asciiTheme="majorEastAsia" w:hAnsiTheme="majorEastAsia" w:eastAsiaTheme="majorEastAsia" w:cstheme="majorEastAsia"/>
          <w:b/>
          <w:bCs/>
          <w:szCs w:val="21"/>
          <w:highlight w:val="none"/>
          <w:lang w:val="zh-CN"/>
        </w:rPr>
      </w:pPr>
      <w:r>
        <w:rPr>
          <w:rFonts w:hint="eastAsia" w:asciiTheme="majorEastAsia" w:hAnsiTheme="majorEastAsia" w:eastAsiaTheme="majorEastAsia" w:cstheme="majorEastAsia"/>
          <w:b/>
          <w:bCs/>
          <w:szCs w:val="21"/>
          <w:highlight w:val="none"/>
          <w:lang w:val="zh-CN"/>
        </w:rPr>
        <w:t>五、销售货物或服务要求</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（一）供应商须承诺在电商平台提供的货物或服务必须是同期面向其他消费群体、在市场公开销售、有销售记录、且在其电子商务平台销售量排前的产品。</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（二）电商平台上的货物或服务库存数量必须与实际库存数量保持一致，不得销售无库存的货物或服务。</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（三）管制类化学品或危化品要经过采购人审批或备案方可销售。</w:t>
      </w:r>
    </w:p>
    <w:p>
      <w:pPr>
        <w:adjustRightInd w:val="0"/>
        <w:snapToGrid w:val="0"/>
        <w:spacing w:line="360" w:lineRule="auto"/>
        <w:rPr>
          <w:rFonts w:asciiTheme="majorEastAsia" w:hAnsiTheme="majorEastAsia" w:eastAsiaTheme="majorEastAsia" w:cstheme="majorEastAsia"/>
          <w:b/>
          <w:bCs/>
          <w:szCs w:val="21"/>
          <w:highlight w:val="none"/>
          <w:lang w:val="zh-CN"/>
        </w:rPr>
      </w:pPr>
    </w:p>
    <w:p>
      <w:pPr>
        <w:adjustRightInd w:val="0"/>
        <w:snapToGrid w:val="0"/>
        <w:spacing w:line="360" w:lineRule="auto"/>
        <w:rPr>
          <w:rFonts w:asciiTheme="majorEastAsia" w:hAnsiTheme="majorEastAsia" w:eastAsiaTheme="majorEastAsia" w:cstheme="majorEastAsia"/>
          <w:b/>
          <w:bCs/>
          <w:szCs w:val="21"/>
          <w:highlight w:val="none"/>
          <w:lang w:val="zh-CN"/>
        </w:rPr>
      </w:pPr>
      <w:r>
        <w:rPr>
          <w:rFonts w:hint="eastAsia" w:asciiTheme="majorEastAsia" w:hAnsiTheme="majorEastAsia" w:eastAsiaTheme="majorEastAsia" w:cstheme="majorEastAsia"/>
          <w:b/>
          <w:bCs/>
          <w:szCs w:val="21"/>
          <w:highlight w:val="none"/>
          <w:lang w:val="zh-CN"/>
        </w:rPr>
        <w:t>六、销售的价格要求</w:t>
      </w:r>
    </w:p>
    <w:p>
      <w:pPr>
        <w:adjustRightInd w:val="0"/>
        <w:snapToGrid w:val="0"/>
        <w:spacing w:line="360" w:lineRule="auto"/>
        <w:ind w:firstLine="422" w:firstLineChars="200"/>
        <w:rPr>
          <w:rFonts w:asciiTheme="majorEastAsia" w:hAnsiTheme="majorEastAsia" w:eastAsiaTheme="majorEastAsia" w:cstheme="majorEastAsia"/>
          <w:b/>
          <w:bCs/>
          <w:szCs w:val="21"/>
          <w:highlight w:val="none"/>
          <w:lang w:val="zh-CN"/>
        </w:rPr>
      </w:pPr>
      <w:r>
        <w:rPr>
          <w:rFonts w:hint="eastAsia" w:asciiTheme="majorEastAsia" w:hAnsiTheme="majorEastAsia" w:eastAsiaTheme="majorEastAsia" w:cstheme="majorEastAsia"/>
          <w:b/>
          <w:bCs/>
          <w:szCs w:val="21"/>
          <w:highlight w:val="none"/>
          <w:lang w:val="zh-CN"/>
        </w:rPr>
        <w:t>▲（一）供应商须承诺在电商平台提供的货物或服务价格不得高于自有电子商务平台同期销售价格，不得高于同期对其他消费群体的销售价格，且必须承诺广东省范围内价格统一，不得有地区差异。</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（二）供应商须承诺有报折扣优惠率的，应按承诺的销售价格折扣优惠进行结算。可提供大宗耗材交易的大客户价。</w:t>
      </w:r>
    </w:p>
    <w:p>
      <w:pPr>
        <w:adjustRightInd w:val="0"/>
        <w:snapToGrid w:val="0"/>
        <w:spacing w:line="360" w:lineRule="auto"/>
        <w:rPr>
          <w:rFonts w:asciiTheme="majorEastAsia" w:hAnsiTheme="majorEastAsia" w:eastAsiaTheme="majorEastAsia" w:cstheme="majorEastAsia"/>
          <w:b/>
          <w:bCs/>
          <w:szCs w:val="21"/>
          <w:highlight w:val="none"/>
          <w:lang w:val="zh-CN"/>
        </w:rPr>
      </w:pPr>
    </w:p>
    <w:p>
      <w:pPr>
        <w:adjustRightInd w:val="0"/>
        <w:snapToGrid w:val="0"/>
        <w:spacing w:line="360" w:lineRule="auto"/>
        <w:rPr>
          <w:rFonts w:asciiTheme="majorEastAsia" w:hAnsiTheme="majorEastAsia" w:eastAsiaTheme="majorEastAsia" w:cstheme="majorEastAsia"/>
          <w:b/>
          <w:bCs/>
          <w:szCs w:val="21"/>
          <w:highlight w:val="none"/>
          <w:lang w:val="zh-CN"/>
        </w:rPr>
      </w:pPr>
      <w:r>
        <w:rPr>
          <w:rFonts w:hint="eastAsia" w:asciiTheme="majorEastAsia" w:hAnsiTheme="majorEastAsia" w:eastAsiaTheme="majorEastAsia" w:cstheme="majorEastAsia"/>
          <w:b/>
          <w:bCs/>
          <w:szCs w:val="21"/>
          <w:highlight w:val="none"/>
          <w:lang w:val="zh-CN"/>
        </w:rPr>
        <w:t>七、交货及验货要求</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（一）交货要求：将货物或服务送至采购人用户指定地点（包括送货上楼等，不支付额外其他费用）。</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（二）验收要求：</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1、货物或服务送达指定地点后，采购人用户应及时对品类、型号、数量和外包装等货物表面状况进行查验；如查验发现配送的货物或服务包装有破损或与约定货物型号、数量、参数不一致的，采购人用户应在签收后及时反馈；电商平台应当无条件退货或换货，退货、换货费用由电商平台承担。</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2、采购人用户收到货物或服务后，可以对货物或服务进行质量检查和验收。如采购人用户发现存在质量问题，应及时以书面形式告知供应商，供应商应在收到采购人用户书面通知之日起两个工作日内予以响应并书面通知采购人用户处理意见；供应商逾期响应的，视为接受采购人用户对货物或服务质量的检查结论；如采购人用户不同意供应商处理意见的，双方可另行协商解决。采购人用户所购货物或服务在该质保期内发生质量问题或事故的，无论采购人用户是否依据本条规定向供应商发送货物或服务质量通知，均不免除供应商依法所应当承担的质保责任及赔偿责任。</w:t>
      </w:r>
    </w:p>
    <w:p>
      <w:pPr>
        <w:adjustRightInd w:val="0"/>
        <w:snapToGrid w:val="0"/>
        <w:spacing w:line="360" w:lineRule="auto"/>
        <w:rPr>
          <w:rFonts w:asciiTheme="majorEastAsia" w:hAnsiTheme="majorEastAsia" w:eastAsiaTheme="majorEastAsia" w:cstheme="majorEastAsia"/>
          <w:b/>
          <w:bCs/>
          <w:szCs w:val="21"/>
          <w:highlight w:val="none"/>
          <w:lang w:val="zh-CN"/>
        </w:rPr>
      </w:pPr>
    </w:p>
    <w:p>
      <w:pPr>
        <w:adjustRightInd w:val="0"/>
        <w:snapToGrid w:val="0"/>
        <w:spacing w:line="360" w:lineRule="auto"/>
        <w:rPr>
          <w:rFonts w:asciiTheme="majorEastAsia" w:hAnsiTheme="majorEastAsia" w:eastAsiaTheme="majorEastAsia" w:cstheme="majorEastAsia"/>
          <w:b/>
          <w:bCs/>
          <w:szCs w:val="21"/>
          <w:highlight w:val="none"/>
          <w:lang w:val="zh-CN"/>
        </w:rPr>
      </w:pPr>
      <w:r>
        <w:rPr>
          <w:rFonts w:hint="eastAsia" w:asciiTheme="majorEastAsia" w:hAnsiTheme="majorEastAsia" w:eastAsiaTheme="majorEastAsia" w:cstheme="majorEastAsia"/>
          <w:b/>
          <w:bCs/>
          <w:szCs w:val="21"/>
          <w:highlight w:val="none"/>
          <w:lang w:val="zh-CN"/>
        </w:rPr>
        <w:t>八、物流配送要求</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（一）供应商须承诺：自收到网上商城订单后3个工作日内完成配送。</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（二）供应商须承诺：在配送完毕后5个工作日内将合同、发票寄送给采购人用户。</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（三）供应商须承诺在电商平台及时提供完整的物流信息及售后服务信息，不得提供虚假信息。</w:t>
      </w:r>
    </w:p>
    <w:p>
      <w:pPr>
        <w:adjustRightInd w:val="0"/>
        <w:snapToGrid w:val="0"/>
        <w:spacing w:line="360" w:lineRule="auto"/>
        <w:rPr>
          <w:rFonts w:asciiTheme="majorEastAsia" w:hAnsiTheme="majorEastAsia" w:eastAsiaTheme="majorEastAsia" w:cstheme="majorEastAsia"/>
          <w:b/>
          <w:bCs/>
          <w:szCs w:val="21"/>
          <w:highlight w:val="none"/>
          <w:lang w:val="zh-CN"/>
        </w:rPr>
      </w:pPr>
    </w:p>
    <w:p>
      <w:pPr>
        <w:adjustRightInd w:val="0"/>
        <w:snapToGrid w:val="0"/>
        <w:spacing w:line="360" w:lineRule="auto"/>
        <w:rPr>
          <w:rFonts w:asciiTheme="majorEastAsia" w:hAnsiTheme="majorEastAsia" w:eastAsiaTheme="majorEastAsia" w:cstheme="majorEastAsia"/>
          <w:b/>
          <w:bCs/>
          <w:szCs w:val="21"/>
          <w:highlight w:val="none"/>
          <w:lang w:val="zh-CN"/>
        </w:rPr>
      </w:pPr>
      <w:r>
        <w:rPr>
          <w:rFonts w:hint="eastAsia" w:asciiTheme="majorEastAsia" w:hAnsiTheme="majorEastAsia" w:eastAsiaTheme="majorEastAsia" w:cstheme="majorEastAsia"/>
          <w:b/>
          <w:bCs/>
          <w:szCs w:val="21"/>
          <w:highlight w:val="none"/>
          <w:lang w:val="zh-CN"/>
        </w:rPr>
        <w:t>九、售后服务要求</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供应商须承诺具备良好的售后服务能力，并遵守以下规定：</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（一）应提供不低于其所投电子商务平台发布的服务政策、国家三包政策和厂家的规定履行相关售后服务标准。</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（二）设立专门的技术团队及服务团队，提供客服联系电话和在线咨询服务；</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（三）不得无故擅自取消电子订单；</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（四）必须按照规定的时间以及合同约定的地点完成配送服务；</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（五）属于需要安装的货物或服务，必须配合采购人用户完成货物或服务的安装服务，包括但不限于货物或服务安装调试、预约安装服务；</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（六）必须依照国家有关规定提供自采购人用户收到货物或服务之日起七日内免费退换服务；</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（七）在质保期内，出现产品或售后服务投诉纠纷的，必须在服务承诺及合同约定范围内妥善解决。出现严重质量问题或供应商推诿质量、服务责任时，必须承担最终责任并提供质量和服务保障。</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（八）产品的质量保修服务按国家的相关规定执行，如产品厂商有更优厚的质量保修服务承诺时，按厂商承诺执行。</w:t>
      </w:r>
    </w:p>
    <w:p>
      <w:pPr>
        <w:adjustRightInd w:val="0"/>
        <w:snapToGrid w:val="0"/>
        <w:spacing w:line="360" w:lineRule="auto"/>
        <w:rPr>
          <w:rFonts w:asciiTheme="majorEastAsia" w:hAnsiTheme="majorEastAsia" w:eastAsiaTheme="majorEastAsia" w:cstheme="majorEastAsia"/>
          <w:b/>
          <w:bCs/>
          <w:szCs w:val="21"/>
          <w:highlight w:val="none"/>
          <w:lang w:val="zh-CN"/>
        </w:rPr>
      </w:pPr>
    </w:p>
    <w:p>
      <w:pPr>
        <w:adjustRightInd w:val="0"/>
        <w:snapToGrid w:val="0"/>
        <w:spacing w:line="360" w:lineRule="auto"/>
        <w:rPr>
          <w:rFonts w:asciiTheme="majorEastAsia" w:hAnsiTheme="majorEastAsia" w:eastAsiaTheme="majorEastAsia" w:cstheme="majorEastAsia"/>
          <w:b/>
          <w:bCs/>
          <w:szCs w:val="21"/>
          <w:highlight w:val="none"/>
          <w:lang w:val="zh-CN"/>
        </w:rPr>
      </w:pPr>
      <w:r>
        <w:rPr>
          <w:rFonts w:hint="eastAsia" w:asciiTheme="majorEastAsia" w:hAnsiTheme="majorEastAsia" w:eastAsiaTheme="majorEastAsia" w:cstheme="majorEastAsia"/>
          <w:b/>
          <w:bCs/>
          <w:szCs w:val="21"/>
          <w:highlight w:val="none"/>
          <w:lang w:val="zh-CN"/>
        </w:rPr>
        <w:t>十、电商平台管理</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（一）中标人有下列情形之一的，采购人有权暂停电商平台资格：</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1、货物或服务价格明显高于同期市场价格；</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2、</w:t>
      </w:r>
      <w:r>
        <w:rPr>
          <w:rFonts w:hint="eastAsia" w:asciiTheme="majorEastAsia" w:hAnsiTheme="majorEastAsia" w:eastAsiaTheme="majorEastAsia" w:cstheme="majorEastAsia"/>
          <w:szCs w:val="21"/>
          <w:highlight w:val="none"/>
        </w:rPr>
        <w:t>同一供应商</w:t>
      </w:r>
      <w:r>
        <w:rPr>
          <w:rFonts w:hint="eastAsia" w:asciiTheme="majorEastAsia" w:hAnsiTheme="majorEastAsia" w:eastAsiaTheme="majorEastAsia" w:cstheme="majorEastAsia"/>
          <w:szCs w:val="21"/>
          <w:highlight w:val="none"/>
          <w:lang w:val="zh-CN"/>
        </w:rPr>
        <w:t>相同型号或配置产品，作为多个产品不同价格进行销售；</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3、货物或服务名称与详细信息不一致；</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4、未按规定采购品目类别上架货物或服务并有成交记录；</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5、物流信息不符合要求或不完整；</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6、安装调试过程中超出有偿收费标准收取费用；</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7、未按约定时间供货；</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8、因产品质量或不按合同履约被采购人用户书面投诉、并查证属实；</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9、擅自取消电子订单；</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10、实际库存数量与上架电商平台系统中的库存数量不一致。</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（二）中标人有下列情形之一的，采购人有权取消电商平台资格：</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1、提供虚假材料，骗取电商平台资格；</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2、由其他供应商代替开展交易活动；</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3、擅自变更、中止或者终止合同；</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4、提供假冒伪劣产品；</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5、拒绝接受监督检查或者在检查过程中提供虚假材料；</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6、合同有效期内累计2次被暂停电商平台资格。</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rPr>
        <w:t>7、</w:t>
      </w:r>
      <w:r>
        <w:rPr>
          <w:rFonts w:hint="eastAsia" w:asciiTheme="majorEastAsia" w:hAnsiTheme="majorEastAsia" w:eastAsiaTheme="majorEastAsia" w:cstheme="majorEastAsia"/>
          <w:szCs w:val="21"/>
          <w:highlight w:val="none"/>
          <w:lang w:val="zh-CN"/>
        </w:rPr>
        <w:t>中标人被“信用中国”、“信用广东”、“中国政府采购网”网站列入严重失信行为名单的。</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（三）若发生上述情形，采购人将以书面形式通知告诉电商平台。暂停或取消电商平台资格的执行时间以书面通知的落款时间起算，发出即为生效。</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（四）暂停资格时间到期前，被暂停电商平台资格的，应当向采购人提交书面整改材料，申请恢复电商平台资格。如需检查的，在通过检查并符合标准后恢复其电商平台资格。</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（五）被取消电商平台资格的，3年内不得参与采购人组织的电商平台招标活动。</w:t>
      </w:r>
    </w:p>
    <w:p>
      <w:pPr>
        <w:adjustRightInd w:val="0"/>
        <w:snapToGrid w:val="0"/>
        <w:spacing w:line="360" w:lineRule="auto"/>
        <w:ind w:firstLine="420" w:firstLineChars="200"/>
        <w:rPr>
          <w:rFonts w:asciiTheme="majorEastAsia" w:hAnsiTheme="majorEastAsia" w:eastAsiaTheme="majorEastAsia" w:cstheme="majorEastAsia"/>
          <w:szCs w:val="21"/>
          <w:highlight w:val="none"/>
          <w:lang w:val="zh-CN"/>
        </w:rPr>
      </w:pPr>
    </w:p>
    <w:bookmarkEnd w:id="1880"/>
    <w:bookmarkEnd w:id="1881"/>
    <w:bookmarkEnd w:id="1882"/>
    <w:bookmarkEnd w:id="1883"/>
    <w:bookmarkEnd w:id="1884"/>
    <w:bookmarkEnd w:id="1885"/>
    <w:bookmarkEnd w:id="1886"/>
    <w:bookmarkEnd w:id="1887"/>
    <w:bookmarkEnd w:id="1888"/>
    <w:p>
      <w:pPr>
        <w:rPr>
          <w:rFonts w:ascii="宋体" w:hAnsi="宋体" w:cs="宋体"/>
          <w:sz w:val="24"/>
          <w:szCs w:val="24"/>
          <w:highlight w:val="none"/>
        </w:rPr>
      </w:pPr>
      <w:bookmarkStart w:id="1889" w:name="_Toc101951263"/>
      <w:bookmarkStart w:id="1890" w:name="_Toc519164551"/>
      <w:bookmarkStart w:id="1891" w:name="_Toc101775125"/>
      <w:bookmarkStart w:id="1892" w:name="_Toc11033"/>
      <w:bookmarkStart w:id="1893" w:name="_Toc532567230"/>
      <w:bookmarkStart w:id="1894" w:name="_Toc19765"/>
      <w:bookmarkStart w:id="1895" w:name="_Toc469512686"/>
      <w:bookmarkStart w:id="1896" w:name="_Toc20298"/>
      <w:bookmarkStart w:id="1897" w:name="_Toc175644394"/>
      <w:bookmarkStart w:id="1898" w:name="_Toc519164405"/>
      <w:bookmarkStart w:id="1899" w:name="_Toc19567"/>
      <w:bookmarkStart w:id="1900" w:name="_Toc502737318"/>
      <w:bookmarkStart w:id="1901" w:name="_Toc526766037"/>
      <w:bookmarkStart w:id="1902" w:name="_Toc497225721"/>
      <w:bookmarkStart w:id="1903" w:name="_Toc31427"/>
      <w:bookmarkStart w:id="1904" w:name="_Toc22056"/>
      <w:bookmarkStart w:id="1905" w:name="_Toc101843125"/>
      <w:bookmarkStart w:id="1906" w:name="_Toc497687608"/>
      <w:bookmarkStart w:id="1907" w:name="_Toc469512912"/>
      <w:bookmarkStart w:id="1908" w:name="_Toc101771372"/>
      <w:bookmarkStart w:id="1909" w:name="_Toc98579069"/>
      <w:bookmarkStart w:id="1910" w:name="_Toc98580293"/>
      <w:bookmarkStart w:id="1911" w:name="_Toc41723936"/>
      <w:bookmarkStart w:id="1912" w:name="_Toc98579610"/>
      <w:bookmarkStart w:id="1913" w:name="_Toc46308531"/>
      <w:bookmarkStart w:id="1914" w:name="_Toc42313172"/>
      <w:bookmarkStart w:id="1915" w:name="_Toc46308687"/>
      <w:bookmarkStart w:id="1916" w:name="_Toc50276204"/>
      <w:bookmarkStart w:id="1917" w:name="_Toc41884706"/>
      <w:bookmarkStart w:id="1918" w:name="_Toc98579011"/>
      <w:bookmarkStart w:id="1919" w:name="_Toc50276165"/>
      <w:bookmarkStart w:id="1920" w:name="_Toc42394673"/>
      <w:bookmarkStart w:id="1921" w:name="_Toc98035089"/>
      <w:bookmarkStart w:id="1922" w:name="_Toc42394517"/>
      <w:r>
        <w:rPr>
          <w:rFonts w:hint="eastAsia" w:ascii="宋体" w:hAnsi="宋体" w:cs="宋体"/>
          <w:sz w:val="24"/>
          <w:szCs w:val="24"/>
          <w:highlight w:val="none"/>
        </w:rPr>
        <w:br w:type="page"/>
      </w:r>
    </w:p>
    <w:p>
      <w:pPr>
        <w:pStyle w:val="2"/>
        <w:spacing w:before="200" w:after="200" w:line="360" w:lineRule="auto"/>
        <w:jc w:val="center"/>
        <w:rPr>
          <w:rFonts w:ascii="宋体" w:hAnsi="宋体" w:cs="宋体"/>
          <w:sz w:val="24"/>
          <w:szCs w:val="24"/>
          <w:highlight w:val="none"/>
        </w:rPr>
      </w:pPr>
      <w:bookmarkStart w:id="1923" w:name="_Toc5130"/>
      <w:bookmarkStart w:id="1924" w:name="_Toc23335"/>
      <w:r>
        <w:rPr>
          <w:rFonts w:hint="eastAsia" w:ascii="宋体" w:hAnsi="宋体" w:cs="宋体"/>
          <w:sz w:val="24"/>
          <w:szCs w:val="24"/>
          <w:highlight w:val="none"/>
        </w:rPr>
        <w:t>第三章 合同格式</w:t>
      </w:r>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23"/>
      <w:bookmarkEnd w:id="1924"/>
    </w:p>
    <w:p>
      <w:pPr>
        <w:jc w:val="center"/>
        <w:outlineLvl w:val="0"/>
        <w:rPr>
          <w:rFonts w:ascii="宋体" w:hAnsi="宋体" w:cs="宋体"/>
          <w:b/>
          <w:highlight w:val="none"/>
        </w:rPr>
      </w:pPr>
      <w:bookmarkStart w:id="1925" w:name="_Toc535849041"/>
      <w:bookmarkStart w:id="1926" w:name="_Toc517785510"/>
      <w:bookmarkStart w:id="1927" w:name="_Toc8059"/>
      <w:bookmarkStart w:id="1928" w:name="_Toc517785662"/>
      <w:bookmarkStart w:id="1929" w:name="_Toc23484"/>
      <w:bookmarkStart w:id="1930" w:name="_Toc395"/>
      <w:bookmarkStart w:id="1931" w:name="_Toc532567231"/>
      <w:bookmarkStart w:id="1932" w:name="_Toc519521531"/>
      <w:bookmarkStart w:id="1933" w:name="_Toc13774"/>
      <w:bookmarkStart w:id="1934" w:name="_Toc26336"/>
      <w:bookmarkStart w:id="1935" w:name="_Toc22658"/>
      <w:bookmarkStart w:id="1936" w:name="_Toc9536"/>
      <w:bookmarkStart w:id="1937" w:name="_Toc519520100"/>
      <w:bookmarkStart w:id="1938" w:name="_Toc3191"/>
      <w:bookmarkStart w:id="1939" w:name="_Toc18720"/>
      <w:bookmarkStart w:id="1940" w:name="_Toc28163"/>
      <w:bookmarkStart w:id="1941" w:name="_Toc27656"/>
      <w:bookmarkStart w:id="1942" w:name="_Toc11731"/>
      <w:bookmarkStart w:id="1943" w:name="_Toc508368388"/>
      <w:bookmarkStart w:id="1944" w:name="_Toc46308682"/>
      <w:bookmarkStart w:id="1945" w:name="_Toc42394511"/>
      <w:bookmarkStart w:id="1946" w:name="_Toc98579005"/>
      <w:bookmarkStart w:id="1947" w:name="_Toc175644395"/>
      <w:bookmarkStart w:id="1948" w:name="_Toc101951264"/>
      <w:bookmarkStart w:id="1949" w:name="_Toc98035087"/>
      <w:bookmarkStart w:id="1950" w:name="_Toc42313166"/>
      <w:bookmarkStart w:id="1951" w:name="_Toc42394667"/>
      <w:bookmarkStart w:id="1952" w:name="_Toc101771373"/>
      <w:bookmarkStart w:id="1953" w:name="_Toc98579063"/>
      <w:bookmarkStart w:id="1954" w:name="_Toc50276151"/>
      <w:bookmarkStart w:id="1955" w:name="_Toc41723930"/>
      <w:bookmarkStart w:id="1956" w:name="_Toc50276194"/>
      <w:bookmarkStart w:id="1957" w:name="_Toc98579604"/>
      <w:bookmarkStart w:id="1958" w:name="_Toc101775126"/>
      <w:bookmarkStart w:id="1959" w:name="_Toc41884700"/>
      <w:bookmarkStart w:id="1960" w:name="_Toc98580287"/>
      <w:bookmarkStart w:id="1961" w:name="_Toc101843126"/>
      <w:bookmarkStart w:id="1962" w:name="_Toc46308526"/>
      <w:bookmarkStart w:id="1963" w:name="_Toc469512913"/>
      <w:bookmarkStart w:id="1964" w:name="_Toc497225722"/>
      <w:bookmarkStart w:id="1965" w:name="_Toc497687619"/>
      <w:bookmarkStart w:id="1966" w:name="_Toc469512687"/>
      <w:bookmarkStart w:id="1967" w:name="_Toc41723937"/>
      <w:bookmarkStart w:id="1968" w:name="_Toc98035090"/>
      <w:bookmarkStart w:id="1969" w:name="_Toc42313173"/>
      <w:bookmarkStart w:id="1970" w:name="_Toc98580294"/>
      <w:bookmarkStart w:id="1971" w:name="_Toc42394674"/>
      <w:bookmarkStart w:id="1972" w:name="_Toc46308532"/>
      <w:bookmarkStart w:id="1973" w:name="_Toc50276166"/>
      <w:bookmarkStart w:id="1974" w:name="_Toc98579611"/>
      <w:bookmarkStart w:id="1975" w:name="_Toc42394518"/>
      <w:bookmarkStart w:id="1976" w:name="_Toc98579070"/>
      <w:bookmarkStart w:id="1977" w:name="_Toc98579012"/>
      <w:bookmarkStart w:id="1978" w:name="_Toc41884707"/>
      <w:bookmarkStart w:id="1979" w:name="_Toc46308688"/>
      <w:bookmarkStart w:id="1980" w:name="_Toc50276205"/>
      <w:r>
        <w:rPr>
          <w:rFonts w:hint="eastAsia" w:ascii="宋体" w:hAnsi="宋体" w:cs="宋体"/>
          <w:b/>
          <w:highlight w:val="none"/>
        </w:rPr>
        <w:t>（本合同仅为合同的参考文本，合同签订双方可根据项目的具体要求进行修订。）</w:t>
      </w:r>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p>
    <w:bookmarkEnd w:id="1943"/>
    <w:p>
      <w:pPr>
        <w:spacing w:line="360" w:lineRule="auto"/>
        <w:rPr>
          <w:rFonts w:ascii="宋体" w:hAnsi="宋体" w:cs="宋体"/>
          <w:b/>
          <w:szCs w:val="22"/>
          <w:highlight w:val="none"/>
        </w:rPr>
      </w:pPr>
    </w:p>
    <w:p>
      <w:pPr>
        <w:pStyle w:val="5"/>
        <w:jc w:val="center"/>
        <w:rPr>
          <w:highlight w:val="none"/>
        </w:rPr>
      </w:pPr>
      <w:bookmarkStart w:id="1981" w:name="_Toc7340"/>
      <w:bookmarkStart w:id="1982" w:name="_Toc519164407"/>
      <w:bookmarkStart w:id="1983" w:name="_Toc16721"/>
      <w:bookmarkStart w:id="1984" w:name="_Toc6631"/>
      <w:bookmarkStart w:id="1985" w:name="_Toc519164553"/>
      <w:bookmarkStart w:id="1986" w:name="_Toc18657"/>
      <w:bookmarkStart w:id="1987" w:name="_Toc526766039"/>
      <w:bookmarkStart w:id="1988" w:name="_Toc502737319"/>
      <w:bookmarkStart w:id="1989" w:name="_Toc532567232"/>
      <w:r>
        <w:rPr>
          <w:color w:val="000000"/>
          <w:sz w:val="36"/>
          <w:szCs w:val="36"/>
          <w:highlight w:val="none"/>
        </w:rPr>
        <w:t>华南师范大学采购合同</w:t>
      </w:r>
      <w:bookmarkEnd w:id="1981"/>
    </w:p>
    <w:tbl>
      <w:tblPr>
        <w:tblStyle w:val="46"/>
        <w:tblW w:w="9152" w:type="dxa"/>
        <w:jc w:val="center"/>
        <w:tblInd w:w="0" w:type="dxa"/>
        <w:tblLayout w:type="fixed"/>
        <w:tblCellMar>
          <w:top w:w="0" w:type="dxa"/>
          <w:left w:w="0" w:type="dxa"/>
          <w:bottom w:w="0" w:type="dxa"/>
          <w:right w:w="0" w:type="dxa"/>
        </w:tblCellMar>
      </w:tblPr>
      <w:tblGrid>
        <w:gridCol w:w="5239"/>
        <w:gridCol w:w="3913"/>
      </w:tblGrid>
      <w:tr>
        <w:tblPrEx>
          <w:tblLayout w:type="fixed"/>
          <w:tblCellMar>
            <w:top w:w="0" w:type="dxa"/>
            <w:left w:w="0" w:type="dxa"/>
            <w:bottom w:w="0" w:type="dxa"/>
            <w:right w:w="0" w:type="dxa"/>
          </w:tblCellMar>
        </w:tblPrEx>
        <w:trPr>
          <w:trHeight w:val="458" w:hRule="atLeast"/>
          <w:jc w:val="center"/>
        </w:trPr>
        <w:tc>
          <w:tcPr>
            <w:tcW w:w="5239" w:type="dxa"/>
            <w:shd w:val="clear" w:color="auto" w:fill="auto"/>
            <w:tcMar>
              <w:top w:w="15" w:type="dxa"/>
              <w:left w:w="15" w:type="dxa"/>
              <w:bottom w:w="15" w:type="dxa"/>
              <w:right w:w="15" w:type="dxa"/>
            </w:tcMar>
            <w:vAlign w:val="center"/>
          </w:tcPr>
          <w:p>
            <w:pPr>
              <w:wordWrap w:val="0"/>
              <w:rPr>
                <w:rFonts w:ascii="宋体" w:hAnsi="宋体" w:cs="宋体"/>
                <w:color w:val="000000"/>
                <w:szCs w:val="21"/>
                <w:highlight w:val="none"/>
              </w:rPr>
            </w:pPr>
            <w:r>
              <w:rPr>
                <w:rFonts w:hint="eastAsia" w:ascii="宋体" w:hAnsi="宋体" w:cs="宋体"/>
                <w:color w:val="000000"/>
                <w:szCs w:val="21"/>
                <w:highlight w:val="none"/>
              </w:rPr>
              <w:t>合同名称：</w:t>
            </w:r>
          </w:p>
        </w:tc>
        <w:tc>
          <w:tcPr>
            <w:tcW w:w="3913" w:type="dxa"/>
            <w:shd w:val="clear" w:color="auto" w:fill="auto"/>
            <w:tcMar>
              <w:top w:w="15" w:type="dxa"/>
              <w:left w:w="15" w:type="dxa"/>
              <w:bottom w:w="15" w:type="dxa"/>
              <w:right w:w="15" w:type="dxa"/>
            </w:tcMar>
            <w:vAlign w:val="center"/>
          </w:tcPr>
          <w:p>
            <w:pPr>
              <w:wordWrap w:val="0"/>
              <w:rPr>
                <w:rFonts w:ascii="宋体" w:hAnsi="宋体" w:cs="宋体"/>
                <w:color w:val="000000"/>
                <w:szCs w:val="21"/>
                <w:highlight w:val="none"/>
              </w:rPr>
            </w:pPr>
            <w:r>
              <w:rPr>
                <w:rFonts w:hint="eastAsia" w:ascii="宋体" w:hAnsi="宋体" w:cs="宋体"/>
                <w:color w:val="000000"/>
                <w:szCs w:val="21"/>
                <w:highlight w:val="none"/>
              </w:rPr>
              <w:t xml:space="preserve">采购方式：竞争性磋商  </w:t>
            </w:r>
          </w:p>
        </w:tc>
      </w:tr>
      <w:tr>
        <w:tblPrEx>
          <w:tblLayout w:type="fixed"/>
          <w:tblCellMar>
            <w:top w:w="0" w:type="dxa"/>
            <w:left w:w="0" w:type="dxa"/>
            <w:bottom w:w="0" w:type="dxa"/>
            <w:right w:w="0" w:type="dxa"/>
          </w:tblCellMar>
        </w:tblPrEx>
        <w:trPr>
          <w:trHeight w:val="458" w:hRule="atLeast"/>
          <w:jc w:val="center"/>
        </w:trPr>
        <w:tc>
          <w:tcPr>
            <w:tcW w:w="5239" w:type="dxa"/>
            <w:shd w:val="clear" w:color="auto" w:fill="auto"/>
            <w:tcMar>
              <w:top w:w="15" w:type="dxa"/>
              <w:left w:w="15" w:type="dxa"/>
              <w:bottom w:w="15" w:type="dxa"/>
              <w:right w:w="15" w:type="dxa"/>
            </w:tcMar>
            <w:vAlign w:val="center"/>
          </w:tcPr>
          <w:p>
            <w:pPr>
              <w:wordWrap w:val="0"/>
              <w:rPr>
                <w:rFonts w:ascii="宋体" w:hAnsi="宋体" w:cs="宋体"/>
                <w:color w:val="000000"/>
                <w:szCs w:val="21"/>
                <w:highlight w:val="none"/>
              </w:rPr>
            </w:pPr>
            <w:r>
              <w:rPr>
                <w:rFonts w:hint="eastAsia" w:ascii="宋体" w:hAnsi="宋体" w:cs="宋体"/>
                <w:color w:val="000000"/>
                <w:szCs w:val="21"/>
                <w:highlight w:val="none"/>
              </w:rPr>
              <w:t>采购项目编号：</w:t>
            </w:r>
          </w:p>
        </w:tc>
        <w:tc>
          <w:tcPr>
            <w:tcW w:w="3913" w:type="dxa"/>
            <w:shd w:val="clear" w:color="auto" w:fill="auto"/>
            <w:tcMar>
              <w:top w:w="15" w:type="dxa"/>
              <w:left w:w="15" w:type="dxa"/>
              <w:bottom w:w="15" w:type="dxa"/>
              <w:right w:w="15" w:type="dxa"/>
            </w:tcMar>
            <w:vAlign w:val="center"/>
          </w:tcPr>
          <w:p>
            <w:pPr>
              <w:wordWrap w:val="0"/>
              <w:rPr>
                <w:rFonts w:ascii="宋体" w:hAnsi="宋体" w:cs="宋体"/>
                <w:color w:val="000000"/>
                <w:szCs w:val="21"/>
                <w:highlight w:val="none"/>
              </w:rPr>
            </w:pPr>
            <w:r>
              <w:rPr>
                <w:rFonts w:hint="eastAsia" w:ascii="宋体" w:hAnsi="宋体" w:cs="宋体"/>
                <w:color w:val="000000"/>
                <w:szCs w:val="21"/>
                <w:highlight w:val="none"/>
              </w:rPr>
              <w:t xml:space="preserve">合同编号： </w:t>
            </w:r>
          </w:p>
        </w:tc>
      </w:tr>
      <w:tr>
        <w:tblPrEx>
          <w:tblLayout w:type="fixed"/>
          <w:tblCellMar>
            <w:top w:w="0" w:type="dxa"/>
            <w:left w:w="0" w:type="dxa"/>
            <w:bottom w:w="0" w:type="dxa"/>
            <w:right w:w="0" w:type="dxa"/>
          </w:tblCellMar>
        </w:tblPrEx>
        <w:trPr>
          <w:trHeight w:val="458" w:hRule="atLeast"/>
          <w:jc w:val="center"/>
        </w:trPr>
        <w:tc>
          <w:tcPr>
            <w:tcW w:w="5239" w:type="dxa"/>
            <w:shd w:val="clear" w:color="auto" w:fill="auto"/>
            <w:tcMar>
              <w:top w:w="15" w:type="dxa"/>
              <w:left w:w="15" w:type="dxa"/>
              <w:bottom w:w="15" w:type="dxa"/>
              <w:right w:w="15" w:type="dxa"/>
            </w:tcMar>
            <w:vAlign w:val="center"/>
          </w:tcPr>
          <w:p>
            <w:pPr>
              <w:wordWrap w:val="0"/>
              <w:rPr>
                <w:rFonts w:ascii="宋体" w:hAnsi="宋体" w:cs="宋体"/>
                <w:color w:val="000000"/>
                <w:szCs w:val="21"/>
                <w:highlight w:val="none"/>
              </w:rPr>
            </w:pPr>
            <w:r>
              <w:rPr>
                <w:rFonts w:hint="eastAsia" w:ascii="宋体" w:hAnsi="宋体" w:cs="宋体"/>
                <w:color w:val="000000"/>
                <w:szCs w:val="21"/>
                <w:highlight w:val="none"/>
              </w:rPr>
              <w:t>甲方： 华南师范大学   </w:t>
            </w:r>
          </w:p>
        </w:tc>
        <w:tc>
          <w:tcPr>
            <w:tcW w:w="3913" w:type="dxa"/>
            <w:shd w:val="clear" w:color="auto" w:fill="auto"/>
            <w:tcMar>
              <w:top w:w="15" w:type="dxa"/>
              <w:left w:w="15" w:type="dxa"/>
              <w:bottom w:w="15" w:type="dxa"/>
              <w:right w:w="15" w:type="dxa"/>
            </w:tcMar>
            <w:vAlign w:val="center"/>
          </w:tcPr>
          <w:p>
            <w:pPr>
              <w:wordWrap w:val="0"/>
              <w:rPr>
                <w:rFonts w:ascii="宋体" w:hAnsi="宋体" w:cs="宋体"/>
                <w:color w:val="000000"/>
                <w:szCs w:val="21"/>
                <w:highlight w:val="none"/>
              </w:rPr>
            </w:pPr>
            <w:r>
              <w:rPr>
                <w:rFonts w:hint="eastAsia" w:ascii="宋体" w:hAnsi="宋体" w:cs="宋体"/>
                <w:color w:val="000000"/>
                <w:szCs w:val="21"/>
                <w:highlight w:val="none"/>
              </w:rPr>
              <w:t xml:space="preserve">签订地点： 广州市天河区   </w:t>
            </w:r>
          </w:p>
        </w:tc>
      </w:tr>
      <w:tr>
        <w:tblPrEx>
          <w:tblLayout w:type="fixed"/>
          <w:tblCellMar>
            <w:top w:w="0" w:type="dxa"/>
            <w:left w:w="0" w:type="dxa"/>
            <w:bottom w:w="0" w:type="dxa"/>
            <w:right w:w="0" w:type="dxa"/>
          </w:tblCellMar>
        </w:tblPrEx>
        <w:trPr>
          <w:trHeight w:val="458" w:hRule="atLeast"/>
          <w:jc w:val="center"/>
        </w:trPr>
        <w:tc>
          <w:tcPr>
            <w:tcW w:w="5239" w:type="dxa"/>
            <w:shd w:val="clear" w:color="auto" w:fill="auto"/>
            <w:tcMar>
              <w:top w:w="15" w:type="dxa"/>
              <w:left w:w="15" w:type="dxa"/>
              <w:bottom w:w="15" w:type="dxa"/>
              <w:right w:w="15" w:type="dxa"/>
            </w:tcMar>
            <w:vAlign w:val="center"/>
          </w:tcPr>
          <w:p>
            <w:pPr>
              <w:wordWrap w:val="0"/>
              <w:rPr>
                <w:rFonts w:ascii="宋体" w:hAnsi="宋体" w:cs="宋体"/>
                <w:color w:val="000000"/>
                <w:szCs w:val="21"/>
                <w:highlight w:val="none"/>
              </w:rPr>
            </w:pPr>
            <w:r>
              <w:rPr>
                <w:rFonts w:hint="eastAsia" w:ascii="宋体" w:hAnsi="宋体" w:cs="宋体"/>
                <w:color w:val="000000"/>
                <w:szCs w:val="21"/>
                <w:highlight w:val="none"/>
              </w:rPr>
              <w:t xml:space="preserve">乙方： </w:t>
            </w:r>
          </w:p>
        </w:tc>
        <w:tc>
          <w:tcPr>
            <w:tcW w:w="3913" w:type="dxa"/>
            <w:shd w:val="clear" w:color="auto" w:fill="auto"/>
            <w:tcMar>
              <w:top w:w="15" w:type="dxa"/>
              <w:left w:w="15" w:type="dxa"/>
              <w:bottom w:w="15" w:type="dxa"/>
              <w:right w:w="15" w:type="dxa"/>
            </w:tcMar>
            <w:vAlign w:val="center"/>
          </w:tcPr>
          <w:p>
            <w:pPr>
              <w:wordWrap w:val="0"/>
              <w:rPr>
                <w:rFonts w:ascii="宋体" w:hAnsi="宋体" w:cs="宋体"/>
                <w:color w:val="000000"/>
                <w:szCs w:val="21"/>
                <w:highlight w:val="none"/>
              </w:rPr>
            </w:pPr>
            <w:r>
              <w:rPr>
                <w:rFonts w:hint="eastAsia" w:ascii="宋体" w:hAnsi="宋体" w:cs="宋体"/>
                <w:color w:val="000000"/>
                <w:szCs w:val="21"/>
                <w:highlight w:val="none"/>
              </w:rPr>
              <w:t xml:space="preserve">生效时间：双方签名盖章之日起   </w:t>
            </w:r>
          </w:p>
        </w:tc>
      </w:tr>
      <w:tr>
        <w:tblPrEx>
          <w:tblLayout w:type="fixed"/>
          <w:tblCellMar>
            <w:top w:w="0" w:type="dxa"/>
            <w:left w:w="0" w:type="dxa"/>
            <w:bottom w:w="0" w:type="dxa"/>
            <w:right w:w="0" w:type="dxa"/>
          </w:tblCellMar>
        </w:tblPrEx>
        <w:trPr>
          <w:trHeight w:val="2162" w:hRule="atLeast"/>
          <w:jc w:val="center"/>
        </w:trPr>
        <w:tc>
          <w:tcPr>
            <w:tcW w:w="9152" w:type="dxa"/>
            <w:gridSpan w:val="2"/>
            <w:shd w:val="clear" w:color="auto" w:fill="auto"/>
            <w:tcMar>
              <w:top w:w="15" w:type="dxa"/>
              <w:left w:w="15" w:type="dxa"/>
              <w:bottom w:w="15" w:type="dxa"/>
              <w:right w:w="15" w:type="dxa"/>
            </w:tcMar>
            <w:vAlign w:val="center"/>
          </w:tcPr>
          <w:p>
            <w:pPr>
              <w:tabs>
                <w:tab w:val="left" w:pos="630"/>
              </w:tabs>
              <w:spacing w:line="360" w:lineRule="auto"/>
              <w:rPr>
                <w:rFonts w:ascii="宋体" w:hAnsi="宋体" w:cs="宋体"/>
                <w:color w:val="000000"/>
                <w:szCs w:val="21"/>
                <w:highlight w:val="none"/>
              </w:rPr>
            </w:pPr>
            <w:r>
              <w:rPr>
                <w:rFonts w:hint="eastAsia" w:ascii="宋体" w:hAnsi="宋体" w:cs="宋体"/>
                <w:b/>
                <w:color w:val="000000"/>
                <w:szCs w:val="21"/>
                <w:highlight w:val="none"/>
              </w:rPr>
              <w:t>一、合同签订的依据</w:t>
            </w:r>
          </w:p>
          <w:p>
            <w:pPr>
              <w:tabs>
                <w:tab w:val="left" w:pos="630"/>
              </w:tabs>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根据甲方委托广东省机电设备招标有限公司组织的华南师范大学遴选科研耗材电商平台项目竞争性磋商结果，经甲乙双方协商一致，现就乙方向甲方提供科研耗材电商平台相关服务，签订本合同。</w:t>
            </w:r>
          </w:p>
        </w:tc>
      </w:tr>
      <w:tr>
        <w:tblPrEx>
          <w:tblLayout w:type="fixed"/>
          <w:tblCellMar>
            <w:top w:w="0" w:type="dxa"/>
            <w:left w:w="0" w:type="dxa"/>
            <w:bottom w:w="0" w:type="dxa"/>
            <w:right w:w="0" w:type="dxa"/>
          </w:tblCellMar>
        </w:tblPrEx>
        <w:trPr>
          <w:trHeight w:val="1345" w:hRule="atLeast"/>
          <w:jc w:val="center"/>
        </w:trPr>
        <w:tc>
          <w:tcPr>
            <w:tcW w:w="9152" w:type="dxa"/>
            <w:gridSpan w:val="2"/>
            <w:shd w:val="clear" w:color="auto" w:fill="auto"/>
            <w:tcMar>
              <w:top w:w="15" w:type="dxa"/>
              <w:left w:w="15" w:type="dxa"/>
              <w:bottom w:w="15" w:type="dxa"/>
              <w:right w:w="15" w:type="dxa"/>
            </w:tcMar>
            <w:vAlign w:val="center"/>
          </w:tcPr>
          <w:p>
            <w:pPr>
              <w:tabs>
                <w:tab w:val="left" w:pos="630"/>
              </w:tabs>
              <w:spacing w:line="360" w:lineRule="auto"/>
              <w:rPr>
                <w:rFonts w:ascii="宋体" w:hAnsi="宋体" w:cs="宋体"/>
                <w:color w:val="000000"/>
                <w:szCs w:val="21"/>
                <w:highlight w:val="none"/>
              </w:rPr>
            </w:pPr>
            <w:r>
              <w:rPr>
                <w:rFonts w:hint="eastAsia" w:ascii="宋体" w:hAnsi="宋体" w:cs="宋体"/>
                <w:b/>
                <w:color w:val="000000"/>
                <w:szCs w:val="21"/>
                <w:highlight w:val="none"/>
              </w:rPr>
              <w:t>二、合同标的</w:t>
            </w:r>
          </w:p>
          <w:p>
            <w:pPr>
              <w:tabs>
                <w:tab w:val="left" w:pos="630"/>
              </w:tabs>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本合同标的为科研耗材电商平台，包括设计、货物供货、安装、调试、培训、验收、技术服务（包括技术资料、图纸的提供）、质保期保障等的全部内容，具体项目概况及技术服务要求见本合同书附件。 </w:t>
            </w:r>
          </w:p>
        </w:tc>
      </w:tr>
    </w:tbl>
    <w:p>
      <w:pPr>
        <w:tabs>
          <w:tab w:val="left" w:pos="630"/>
          <w:tab w:val="left" w:pos="960"/>
        </w:tabs>
        <w:spacing w:line="360" w:lineRule="auto"/>
        <w:rPr>
          <w:rFonts w:ascii="宋体" w:hAnsi="宋体" w:cs="宋体"/>
          <w:color w:val="000000"/>
          <w:szCs w:val="21"/>
          <w:highlight w:val="none"/>
        </w:rPr>
      </w:pPr>
      <w:r>
        <w:rPr>
          <w:rFonts w:hint="eastAsia" w:ascii="宋体" w:hAnsi="宋体" w:cs="宋体"/>
          <w:b/>
          <w:color w:val="000000"/>
          <w:szCs w:val="21"/>
          <w:highlight w:val="none"/>
        </w:rPr>
        <w:t>三、服务范围及合同内容</w:t>
      </w:r>
    </w:p>
    <w:tbl>
      <w:tblPr>
        <w:tblStyle w:val="46"/>
        <w:tblW w:w="7513" w:type="dxa"/>
        <w:jc w:val="center"/>
        <w:tblInd w:w="0" w:type="dxa"/>
        <w:tblLayout w:type="fixed"/>
        <w:tblCellMar>
          <w:top w:w="0" w:type="dxa"/>
          <w:left w:w="0" w:type="dxa"/>
          <w:bottom w:w="0" w:type="dxa"/>
          <w:right w:w="0" w:type="dxa"/>
        </w:tblCellMar>
      </w:tblPr>
      <w:tblGrid>
        <w:gridCol w:w="673"/>
        <w:gridCol w:w="948"/>
        <w:gridCol w:w="3399"/>
        <w:gridCol w:w="1268"/>
        <w:gridCol w:w="1225"/>
      </w:tblGrid>
      <w:tr>
        <w:tblPrEx>
          <w:tblLayout w:type="fixed"/>
          <w:tblCellMar>
            <w:top w:w="0" w:type="dxa"/>
            <w:left w:w="0" w:type="dxa"/>
            <w:bottom w:w="0" w:type="dxa"/>
            <w:right w:w="0" w:type="dxa"/>
          </w:tblCellMar>
        </w:tblPrEx>
        <w:trPr>
          <w:trHeight w:val="1070" w:hRule="atLeast"/>
          <w:jc w:val="center"/>
        </w:trPr>
        <w:tc>
          <w:tcPr>
            <w:tcW w:w="673" w:type="dxa"/>
            <w:tcBorders>
              <w:top w:val="outset" w:color="000000" w:sz="8" w:space="0"/>
              <w:left w:val="outset" w:color="000000" w:sz="8" w:space="0"/>
              <w:bottom w:val="outset" w:color="000000" w:sz="8" w:space="0"/>
              <w:right w:val="outset" w:color="000000" w:sz="8" w:space="0"/>
            </w:tcBorders>
            <w:shd w:val="clear" w:color="auto" w:fill="auto"/>
            <w:tcMar>
              <w:top w:w="15" w:type="dxa"/>
              <w:left w:w="15" w:type="dxa"/>
              <w:bottom w:w="15" w:type="dxa"/>
              <w:right w:w="15" w:type="dxa"/>
            </w:tcMar>
            <w:vAlign w:val="center"/>
          </w:tcPr>
          <w:p>
            <w:pPr>
              <w:jc w:val="center"/>
              <w:rPr>
                <w:rFonts w:ascii="宋体" w:hAnsi="宋体" w:cs="宋体"/>
                <w:szCs w:val="21"/>
                <w:highlight w:val="none"/>
              </w:rPr>
            </w:pPr>
            <w:r>
              <w:rPr>
                <w:rFonts w:hint="eastAsia" w:ascii="宋体" w:hAnsi="宋体" w:cs="宋体"/>
                <w:color w:val="000000"/>
                <w:szCs w:val="21"/>
                <w:highlight w:val="none"/>
              </w:rPr>
              <w:t>项数</w:t>
            </w:r>
          </w:p>
        </w:tc>
        <w:tc>
          <w:tcPr>
            <w:tcW w:w="948" w:type="dxa"/>
            <w:tcBorders>
              <w:top w:val="outset" w:color="000000" w:sz="8" w:space="0"/>
              <w:left w:val="nil"/>
              <w:bottom w:val="outset" w:color="000000" w:sz="8" w:space="0"/>
              <w:right w:val="outset" w:color="000000" w:sz="8" w:space="0"/>
            </w:tcBorders>
            <w:shd w:val="clear" w:color="auto" w:fill="auto"/>
            <w:tcMar>
              <w:top w:w="15" w:type="dxa"/>
              <w:left w:w="15" w:type="dxa"/>
              <w:bottom w:w="15" w:type="dxa"/>
              <w:right w:w="15" w:type="dxa"/>
            </w:tcMar>
            <w:vAlign w:val="center"/>
          </w:tcPr>
          <w:p>
            <w:pPr>
              <w:jc w:val="center"/>
              <w:rPr>
                <w:rFonts w:ascii="宋体" w:hAnsi="宋体" w:cs="宋体"/>
                <w:szCs w:val="21"/>
                <w:highlight w:val="none"/>
              </w:rPr>
            </w:pPr>
            <w:r>
              <w:rPr>
                <w:rFonts w:hint="eastAsia" w:ascii="宋体" w:hAnsi="宋体" w:cs="宋体"/>
                <w:color w:val="000000"/>
                <w:szCs w:val="21"/>
                <w:highlight w:val="none"/>
              </w:rPr>
              <w:t>物品\服务名称</w:t>
            </w:r>
          </w:p>
        </w:tc>
        <w:tc>
          <w:tcPr>
            <w:tcW w:w="3399" w:type="dxa"/>
            <w:tcBorders>
              <w:top w:val="outset" w:color="000000" w:sz="8" w:space="0"/>
              <w:left w:val="nil"/>
              <w:bottom w:val="outset" w:color="000000" w:sz="8" w:space="0"/>
              <w:right w:val="outset" w:color="000000" w:sz="8" w:space="0"/>
            </w:tcBorders>
            <w:shd w:val="clear" w:color="auto" w:fill="auto"/>
            <w:tcMar>
              <w:top w:w="15" w:type="dxa"/>
              <w:left w:w="15" w:type="dxa"/>
              <w:bottom w:w="15" w:type="dxa"/>
              <w:right w:w="15" w:type="dxa"/>
            </w:tcMar>
            <w:vAlign w:val="center"/>
          </w:tcPr>
          <w:p>
            <w:pPr>
              <w:jc w:val="center"/>
              <w:rPr>
                <w:rFonts w:ascii="宋体" w:hAnsi="宋体" w:cs="宋体"/>
                <w:szCs w:val="21"/>
                <w:highlight w:val="none"/>
              </w:rPr>
            </w:pPr>
            <w:r>
              <w:rPr>
                <w:rFonts w:hint="eastAsia" w:ascii="宋体" w:hAnsi="宋体" w:cs="宋体"/>
                <w:color w:val="000000"/>
                <w:szCs w:val="21"/>
                <w:highlight w:val="none"/>
              </w:rPr>
              <w:t>配置说明</w:t>
            </w:r>
          </w:p>
        </w:tc>
        <w:tc>
          <w:tcPr>
            <w:tcW w:w="1268" w:type="dxa"/>
            <w:tcBorders>
              <w:top w:val="outset" w:color="000000" w:sz="8" w:space="0"/>
              <w:left w:val="nil"/>
              <w:bottom w:val="outset" w:color="000000" w:sz="8" w:space="0"/>
              <w:right w:val="outset" w:color="000000" w:sz="8" w:space="0"/>
            </w:tcBorders>
            <w:shd w:val="clear" w:color="auto" w:fill="auto"/>
            <w:tcMar>
              <w:top w:w="15" w:type="dxa"/>
              <w:left w:w="15" w:type="dxa"/>
              <w:bottom w:w="15" w:type="dxa"/>
              <w:right w:w="15" w:type="dxa"/>
            </w:tcMar>
            <w:vAlign w:val="center"/>
          </w:tcPr>
          <w:p>
            <w:pPr>
              <w:jc w:val="center"/>
              <w:rPr>
                <w:rFonts w:ascii="宋体" w:hAnsi="宋体" w:cs="宋体"/>
                <w:szCs w:val="21"/>
                <w:highlight w:val="none"/>
              </w:rPr>
            </w:pPr>
            <w:r>
              <w:rPr>
                <w:rFonts w:hint="eastAsia" w:ascii="宋体" w:hAnsi="宋体" w:cs="宋体"/>
                <w:color w:val="000000"/>
                <w:szCs w:val="21"/>
                <w:highlight w:val="none"/>
              </w:rPr>
              <w:t>单位</w:t>
            </w:r>
          </w:p>
        </w:tc>
        <w:tc>
          <w:tcPr>
            <w:tcW w:w="1225" w:type="dxa"/>
            <w:tcBorders>
              <w:top w:val="outset" w:color="000000" w:sz="8" w:space="0"/>
              <w:left w:val="nil"/>
              <w:bottom w:val="outset" w:color="000000" w:sz="8" w:space="0"/>
              <w:right w:val="outset" w:color="000000" w:sz="8" w:space="0"/>
            </w:tcBorders>
            <w:shd w:val="clear" w:color="auto" w:fill="auto"/>
            <w:tcMar>
              <w:top w:w="15" w:type="dxa"/>
              <w:left w:w="15" w:type="dxa"/>
              <w:bottom w:w="15" w:type="dxa"/>
              <w:right w:w="15" w:type="dxa"/>
            </w:tcMar>
            <w:vAlign w:val="center"/>
          </w:tcPr>
          <w:p>
            <w:pPr>
              <w:jc w:val="center"/>
              <w:rPr>
                <w:rFonts w:ascii="宋体" w:hAnsi="宋体" w:cs="宋体"/>
                <w:szCs w:val="21"/>
                <w:highlight w:val="none"/>
              </w:rPr>
            </w:pPr>
            <w:r>
              <w:rPr>
                <w:rFonts w:hint="eastAsia" w:ascii="宋体" w:hAnsi="宋体" w:cs="宋体"/>
                <w:color w:val="000000"/>
                <w:szCs w:val="21"/>
                <w:highlight w:val="none"/>
              </w:rPr>
              <w:t>数量</w:t>
            </w:r>
          </w:p>
        </w:tc>
      </w:tr>
      <w:tr>
        <w:tblPrEx>
          <w:tblLayout w:type="fixed"/>
          <w:tblCellMar>
            <w:top w:w="0" w:type="dxa"/>
            <w:left w:w="0" w:type="dxa"/>
            <w:bottom w:w="0" w:type="dxa"/>
            <w:right w:w="0" w:type="dxa"/>
          </w:tblCellMar>
        </w:tblPrEx>
        <w:trPr>
          <w:trHeight w:val="830" w:hRule="atLeast"/>
          <w:jc w:val="center"/>
        </w:trPr>
        <w:tc>
          <w:tcPr>
            <w:tcW w:w="673" w:type="dxa"/>
            <w:tcBorders>
              <w:top w:val="nil"/>
              <w:left w:val="outset" w:color="000000" w:sz="8" w:space="0"/>
              <w:bottom w:val="outset" w:color="000000" w:sz="8" w:space="0"/>
              <w:right w:val="outset" w:color="000000" w:sz="8" w:space="0"/>
            </w:tcBorders>
            <w:shd w:val="clear" w:color="auto" w:fill="auto"/>
            <w:tcMar>
              <w:top w:w="15" w:type="dxa"/>
              <w:left w:w="15" w:type="dxa"/>
              <w:bottom w:w="15" w:type="dxa"/>
              <w:right w:w="15" w:type="dxa"/>
            </w:tcMar>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1</w:t>
            </w:r>
          </w:p>
        </w:tc>
        <w:tc>
          <w:tcPr>
            <w:tcW w:w="948" w:type="dxa"/>
            <w:tcBorders>
              <w:top w:val="nil"/>
              <w:left w:val="nil"/>
              <w:bottom w:val="outset" w:color="000000" w:sz="8" w:space="0"/>
              <w:right w:val="outset" w:color="000000" w:sz="8" w:space="0"/>
            </w:tcBorders>
            <w:shd w:val="clear" w:color="auto" w:fill="auto"/>
            <w:tcMar>
              <w:top w:w="15" w:type="dxa"/>
              <w:left w:w="15" w:type="dxa"/>
              <w:bottom w:w="15" w:type="dxa"/>
              <w:right w:w="15" w:type="dxa"/>
            </w:tcMar>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华南师范大学遴选科研耗材电商平台</w:t>
            </w:r>
          </w:p>
        </w:tc>
        <w:tc>
          <w:tcPr>
            <w:tcW w:w="3399" w:type="dxa"/>
            <w:tcBorders>
              <w:top w:val="nil"/>
              <w:left w:val="nil"/>
              <w:bottom w:val="outset" w:color="000000" w:sz="8" w:space="0"/>
              <w:right w:val="outset" w:color="000000" w:sz="8" w:space="0"/>
            </w:tcBorders>
            <w:shd w:val="clear" w:color="auto" w:fill="auto"/>
            <w:tcMar>
              <w:top w:w="15" w:type="dxa"/>
              <w:left w:w="15" w:type="dxa"/>
              <w:bottom w:w="15" w:type="dxa"/>
              <w:right w:w="15" w:type="dxa"/>
            </w:tcMar>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详见本合同附件</w:t>
            </w:r>
            <w:r>
              <w:rPr>
                <w:rFonts w:hint="eastAsia" w:ascii="宋体" w:hAnsi="宋体" w:cs="宋体"/>
                <w:szCs w:val="21"/>
                <w:highlight w:val="none"/>
              </w:rPr>
              <w:t>项目概况及技术服务要求</w:t>
            </w:r>
            <w:r>
              <w:rPr>
                <w:rFonts w:hint="eastAsia" w:ascii="宋体" w:hAnsi="宋体" w:cs="宋体"/>
                <w:color w:val="000000"/>
                <w:szCs w:val="21"/>
                <w:highlight w:val="none"/>
              </w:rPr>
              <w:t>（服务期三年）</w:t>
            </w:r>
          </w:p>
        </w:tc>
        <w:tc>
          <w:tcPr>
            <w:tcW w:w="1268" w:type="dxa"/>
            <w:tcBorders>
              <w:top w:val="nil"/>
              <w:left w:val="nil"/>
              <w:bottom w:val="outset" w:color="000000" w:sz="8" w:space="0"/>
              <w:right w:val="outset" w:color="000000" w:sz="8" w:space="0"/>
            </w:tcBorders>
            <w:shd w:val="clear" w:color="auto" w:fill="auto"/>
            <w:tcMar>
              <w:top w:w="15" w:type="dxa"/>
              <w:left w:w="15" w:type="dxa"/>
              <w:bottom w:w="15" w:type="dxa"/>
              <w:right w:w="15" w:type="dxa"/>
            </w:tcMar>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项</w:t>
            </w:r>
          </w:p>
        </w:tc>
        <w:tc>
          <w:tcPr>
            <w:tcW w:w="1225" w:type="dxa"/>
            <w:tcBorders>
              <w:top w:val="nil"/>
              <w:left w:val="nil"/>
              <w:bottom w:val="outset" w:color="000000" w:sz="8" w:space="0"/>
              <w:right w:val="outset" w:color="000000" w:sz="8" w:space="0"/>
            </w:tcBorders>
            <w:shd w:val="clear" w:color="auto" w:fill="auto"/>
            <w:tcMar>
              <w:top w:w="15" w:type="dxa"/>
              <w:left w:w="15" w:type="dxa"/>
              <w:bottom w:w="15" w:type="dxa"/>
              <w:right w:w="15" w:type="dxa"/>
            </w:tcMar>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1</w:t>
            </w:r>
          </w:p>
        </w:tc>
      </w:tr>
    </w:tbl>
    <w:p>
      <w:pPr>
        <w:tabs>
          <w:tab w:val="left" w:pos="630"/>
          <w:tab w:val="left" w:pos="960"/>
        </w:tabs>
        <w:spacing w:line="360" w:lineRule="auto"/>
        <w:rPr>
          <w:rFonts w:ascii="宋体" w:hAnsi="宋体" w:cs="宋体"/>
          <w:b/>
          <w:color w:val="000000"/>
          <w:szCs w:val="21"/>
          <w:highlight w:val="none"/>
        </w:rPr>
      </w:pPr>
      <w:r>
        <w:rPr>
          <w:rFonts w:hint="eastAsia" w:ascii="宋体" w:hAnsi="宋体" w:cs="宋体"/>
          <w:b/>
          <w:szCs w:val="21"/>
          <w:highlight w:val="none"/>
        </w:rPr>
        <w:t>四、双方</w:t>
      </w:r>
      <w:r>
        <w:rPr>
          <w:rFonts w:hint="eastAsia" w:ascii="宋体" w:hAnsi="宋体" w:cs="宋体"/>
          <w:b/>
          <w:color w:val="000000"/>
          <w:szCs w:val="21"/>
          <w:highlight w:val="none"/>
        </w:rPr>
        <w:t>权利和义务</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（一）甲方的权利和义务</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szCs w:val="21"/>
          <w:highlight w:val="none"/>
        </w:rPr>
        <w:t>有权</w:t>
      </w:r>
      <w:r>
        <w:rPr>
          <w:rFonts w:hint="eastAsia" w:ascii="宋体" w:hAnsi="宋体" w:cs="宋体"/>
          <w:color w:val="000000"/>
          <w:szCs w:val="21"/>
          <w:highlight w:val="none"/>
        </w:rPr>
        <w:t>无偿使用乙方按本合同附件所述技术服务要求建设的耗材采购电商平台。</w:t>
      </w:r>
    </w:p>
    <w:p>
      <w:pPr>
        <w:spacing w:line="360" w:lineRule="auto"/>
        <w:ind w:firstLine="420" w:firstLineChars="200"/>
        <w:rPr>
          <w:rFonts w:ascii="宋体" w:hAnsi="宋体" w:cs="宋体"/>
          <w:szCs w:val="21"/>
          <w:highlight w:val="none"/>
        </w:rPr>
      </w:pPr>
      <w:r>
        <w:rPr>
          <w:rFonts w:hint="eastAsia" w:ascii="宋体" w:hAnsi="宋体" w:cs="宋体"/>
          <w:color w:val="000000"/>
          <w:szCs w:val="21"/>
          <w:highlight w:val="none"/>
        </w:rPr>
        <w:t>2．</w:t>
      </w:r>
      <w:r>
        <w:rPr>
          <w:rFonts w:hint="eastAsia" w:ascii="宋体" w:hAnsi="宋体" w:cs="宋体"/>
          <w:szCs w:val="21"/>
          <w:highlight w:val="none"/>
        </w:rPr>
        <w:t>有权要求乙方针对甲方需求进行有针对性的招商（即：耗材供应商），并对耗材供应商的筛选标准提出建议或要求。</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w:t>
      </w:r>
      <w:r>
        <w:rPr>
          <w:rFonts w:hint="eastAsia" w:ascii="宋体" w:hAnsi="宋体" w:cs="宋体"/>
          <w:color w:val="000000"/>
          <w:szCs w:val="21"/>
          <w:highlight w:val="none"/>
        </w:rPr>
        <w:t>．</w:t>
      </w:r>
      <w:r>
        <w:rPr>
          <w:rFonts w:hint="eastAsia" w:ascii="宋体" w:hAnsi="宋体" w:cs="宋体"/>
          <w:szCs w:val="21"/>
          <w:highlight w:val="none"/>
        </w:rPr>
        <w:t>有权对耗材供应商的服务标准提出合理的建议或要求。</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w:t>
      </w:r>
      <w:r>
        <w:rPr>
          <w:rFonts w:hint="eastAsia" w:ascii="宋体" w:hAnsi="宋体" w:cs="宋体"/>
          <w:color w:val="000000"/>
          <w:szCs w:val="21"/>
          <w:highlight w:val="none"/>
        </w:rPr>
        <w:t>．</w:t>
      </w:r>
      <w:r>
        <w:rPr>
          <w:rFonts w:hint="eastAsia" w:ascii="宋体" w:hAnsi="宋体" w:cs="宋体"/>
          <w:szCs w:val="21"/>
          <w:highlight w:val="none"/>
        </w:rPr>
        <w:t>有权对乙方的耗材采购电商平台建设提出积极、合理的建议或要求。</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w:t>
      </w:r>
      <w:r>
        <w:rPr>
          <w:rFonts w:hint="eastAsia" w:ascii="宋体" w:hAnsi="宋体" w:cs="宋体"/>
          <w:color w:val="000000"/>
          <w:szCs w:val="21"/>
          <w:highlight w:val="none"/>
        </w:rPr>
        <w:t>．</w:t>
      </w:r>
      <w:r>
        <w:rPr>
          <w:rFonts w:hint="eastAsia" w:ascii="宋体" w:hAnsi="宋体" w:cs="宋体"/>
          <w:szCs w:val="21"/>
          <w:highlight w:val="none"/>
        </w:rPr>
        <w:t>甲方指定专门的部门或人员与乙方进行对接，共同推进甲乙双方合作事宜。</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6</w:t>
      </w:r>
      <w:r>
        <w:rPr>
          <w:rFonts w:hint="eastAsia" w:ascii="宋体" w:hAnsi="宋体" w:cs="宋体"/>
          <w:color w:val="000000"/>
          <w:szCs w:val="21"/>
          <w:highlight w:val="none"/>
        </w:rPr>
        <w:t>．</w:t>
      </w:r>
      <w:r>
        <w:rPr>
          <w:rFonts w:hint="eastAsia" w:ascii="宋体" w:hAnsi="宋体" w:cs="宋体"/>
          <w:szCs w:val="21"/>
          <w:highlight w:val="none"/>
        </w:rPr>
        <w:t>为乙方的耗材采购电商平台提供宣传等有效支持。</w:t>
      </w:r>
    </w:p>
    <w:p>
      <w:pPr>
        <w:spacing w:line="360" w:lineRule="auto"/>
        <w:ind w:firstLine="420" w:firstLineChars="200"/>
        <w:rPr>
          <w:rFonts w:ascii="宋体" w:hAnsi="宋体" w:cs="宋体"/>
          <w:color w:val="000000"/>
          <w:szCs w:val="21"/>
          <w:highlight w:val="none"/>
        </w:rPr>
      </w:pPr>
      <w:r>
        <w:rPr>
          <w:rFonts w:hint="eastAsia" w:ascii="宋体" w:hAnsi="宋体" w:cs="宋体"/>
          <w:szCs w:val="21"/>
          <w:highlight w:val="none"/>
        </w:rPr>
        <w:t>7</w:t>
      </w:r>
      <w:r>
        <w:rPr>
          <w:rFonts w:hint="eastAsia" w:ascii="宋体" w:hAnsi="宋体" w:cs="宋体"/>
          <w:color w:val="000000"/>
          <w:szCs w:val="21"/>
          <w:highlight w:val="none"/>
        </w:rPr>
        <w:t>．</w:t>
      </w:r>
      <w:r>
        <w:rPr>
          <w:rFonts w:hint="eastAsia" w:ascii="宋体" w:hAnsi="宋体" w:cs="宋体"/>
          <w:szCs w:val="21"/>
          <w:highlight w:val="none"/>
        </w:rPr>
        <w:t>规范指引本单位采购人员使用该平台采购，对于所属人员依学校规定程序</w:t>
      </w:r>
      <w:r>
        <w:rPr>
          <w:rFonts w:hint="eastAsia" w:ascii="宋体" w:hAnsi="宋体" w:cs="宋体"/>
          <w:color w:val="000000"/>
          <w:szCs w:val="21"/>
          <w:highlight w:val="none"/>
        </w:rPr>
        <w:t>采购所产生的应付款按期足额支付。</w:t>
      </w:r>
    </w:p>
    <w:p>
      <w:pPr>
        <w:spacing w:line="360" w:lineRule="auto"/>
        <w:ind w:firstLine="420" w:firstLineChars="200"/>
        <w:rPr>
          <w:rFonts w:ascii="宋体" w:hAnsi="宋体" w:cs="宋体"/>
          <w:color w:val="000000"/>
          <w:szCs w:val="21"/>
          <w:highlight w:val="none"/>
        </w:rPr>
      </w:pPr>
      <w:r>
        <w:rPr>
          <w:rFonts w:hint="eastAsia" w:ascii="宋体" w:hAnsi="宋体" w:cs="宋体"/>
          <w:szCs w:val="21"/>
          <w:highlight w:val="none"/>
        </w:rPr>
        <w:t>8</w:t>
      </w:r>
      <w:r>
        <w:rPr>
          <w:rFonts w:hint="eastAsia" w:ascii="宋体" w:hAnsi="宋体" w:cs="宋体"/>
          <w:color w:val="000000"/>
          <w:szCs w:val="21"/>
          <w:highlight w:val="none"/>
        </w:rPr>
        <w:t>．</w:t>
      </w:r>
      <w:r>
        <w:rPr>
          <w:rFonts w:hint="eastAsia" w:ascii="宋体" w:hAnsi="宋体" w:cs="宋体"/>
          <w:szCs w:val="21"/>
          <w:highlight w:val="none"/>
        </w:rPr>
        <w:t>乙方出现违约情形的，甲方有权从乙方履约保证金中扣除损失金额，不足部分乙方应向甲方追加补齐赔偿金额；合同期内，每次对履约保证金进行扣除后，乙方均须重新补齐履约保证金。</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（二）乙方的权利和义务</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1．乙方在规定时限内按本合同附件所述技术服务要求为甲方建设耗材采购电商平台。</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2．乙方指定专门的部门或人员与甲方进行对接，共同推进甲乙双方合作事宜。</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3．在充分完成本合同约定服务及确保甲方权益的基础上，经知会甲方，乙方有权自主制定采购平台的经营策略并实施。</w:t>
      </w:r>
    </w:p>
    <w:p>
      <w:pPr>
        <w:spacing w:line="360" w:lineRule="auto"/>
        <w:ind w:firstLine="420" w:firstLineChars="200"/>
        <w:rPr>
          <w:rFonts w:ascii="宋体" w:hAnsi="宋体" w:cs="宋体"/>
          <w:szCs w:val="21"/>
          <w:highlight w:val="none"/>
        </w:rPr>
      </w:pPr>
      <w:r>
        <w:rPr>
          <w:rFonts w:hint="eastAsia" w:ascii="宋体" w:hAnsi="宋体" w:cs="宋体"/>
          <w:color w:val="000000"/>
          <w:szCs w:val="21"/>
          <w:highlight w:val="none"/>
        </w:rPr>
        <w:t>4．在充分完成本合同约定服务及确保甲方权益的基础上，经知会甲方，乙方可以和其他单位进行相同性质的合作</w:t>
      </w:r>
      <w:r>
        <w:rPr>
          <w:rFonts w:hint="eastAsia" w:ascii="宋体" w:hAnsi="宋体" w:cs="宋体"/>
          <w:szCs w:val="21"/>
          <w:highlight w:val="none"/>
        </w:rPr>
        <w:t>，但不得因此损害甲方的合法权益或擅自泄露甲方与本合同有关的保密信息。</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w:t>
      </w:r>
      <w:r>
        <w:rPr>
          <w:rFonts w:hint="eastAsia" w:ascii="宋体" w:hAnsi="宋体" w:cs="宋体"/>
          <w:color w:val="000000"/>
          <w:szCs w:val="21"/>
          <w:highlight w:val="none"/>
        </w:rPr>
        <w:t>．</w:t>
      </w:r>
      <w:r>
        <w:rPr>
          <w:rFonts w:hint="eastAsia" w:ascii="宋体" w:hAnsi="宋体" w:cs="宋体"/>
          <w:szCs w:val="21"/>
          <w:highlight w:val="none"/>
        </w:rPr>
        <w:t>负责采购平台开发建设工作，确保网络平台安全稳定运营和使用便利，及时采取各项措施修复技术漏洞、问题等，直至问题完全解决。</w:t>
      </w:r>
    </w:p>
    <w:p>
      <w:pPr>
        <w:spacing w:line="360" w:lineRule="auto"/>
        <w:ind w:firstLine="420" w:firstLineChars="200"/>
        <w:rPr>
          <w:rFonts w:ascii="宋体" w:hAnsi="宋体" w:cs="宋体"/>
          <w:szCs w:val="21"/>
          <w:highlight w:val="none"/>
        </w:rPr>
      </w:pPr>
      <w:r>
        <w:rPr>
          <w:rFonts w:hint="eastAsia" w:ascii="宋体" w:hAnsi="宋体" w:cs="宋体"/>
          <w:color w:val="000000"/>
          <w:szCs w:val="21"/>
          <w:highlight w:val="none"/>
        </w:rPr>
        <w:t>6．严格</w:t>
      </w:r>
      <w:r>
        <w:rPr>
          <w:rFonts w:hint="eastAsia" w:ascii="宋体" w:hAnsi="宋体" w:cs="宋体"/>
          <w:szCs w:val="21"/>
          <w:highlight w:val="none"/>
        </w:rPr>
        <w:t>把控耗材供应商准入标准，通过评价、管理和淘汰等制度，严格做好耗材供应商的管理工作。</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7</w:t>
      </w:r>
      <w:r>
        <w:rPr>
          <w:rFonts w:hint="eastAsia" w:ascii="宋体" w:hAnsi="宋体" w:cs="宋体"/>
          <w:color w:val="000000"/>
          <w:szCs w:val="21"/>
          <w:highlight w:val="none"/>
        </w:rPr>
        <w:t>．</w:t>
      </w:r>
      <w:r>
        <w:rPr>
          <w:rFonts w:hint="eastAsia" w:ascii="宋体" w:hAnsi="宋体" w:cs="宋体"/>
          <w:szCs w:val="21"/>
          <w:highlight w:val="none"/>
        </w:rPr>
        <w:t>根据甲方需求为甲方所属人员提供培训，直至能熟悉掌握为止；根据甲方的需求提供甲方在平台上采购的相关数据、耗材供应商信息等甲方要求提供的资料。</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8</w:t>
      </w:r>
      <w:r>
        <w:rPr>
          <w:rFonts w:hint="eastAsia" w:ascii="宋体" w:hAnsi="宋体" w:cs="宋体"/>
          <w:color w:val="000000"/>
          <w:szCs w:val="21"/>
          <w:highlight w:val="none"/>
        </w:rPr>
        <w:t>．</w:t>
      </w:r>
      <w:r>
        <w:rPr>
          <w:rFonts w:hint="eastAsia" w:ascii="宋体" w:hAnsi="宋体" w:cs="宋体"/>
          <w:szCs w:val="21"/>
          <w:highlight w:val="none"/>
        </w:rPr>
        <w:t>充分确保甲方在平台各项数据的安全性和保密性，未经甲方书面同意，永久不得向任何第三方泄露甲方在平台上采购的商品名称、采购数据及注册账号等相关资料，以及甲方与本项目相关的任何信息，否则甲方有权向乙方索赔。</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9</w:t>
      </w:r>
      <w:r>
        <w:rPr>
          <w:rFonts w:hint="eastAsia" w:ascii="宋体" w:hAnsi="宋体" w:cs="宋体"/>
          <w:color w:val="000000"/>
          <w:szCs w:val="21"/>
          <w:highlight w:val="none"/>
        </w:rPr>
        <w:t>．</w:t>
      </w:r>
      <w:r>
        <w:rPr>
          <w:rFonts w:hint="eastAsia" w:ascii="宋体" w:hAnsi="宋体" w:cs="宋体"/>
          <w:szCs w:val="21"/>
          <w:highlight w:val="none"/>
        </w:rPr>
        <w:t>按时保质为甲方提供约定的服务，同时对甲方提出的建议或要求，应接受并积极采取措施配合。</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10 ．合同期满后如不再续约，乙方应将甲方所有采购数据备份交还给甲方。</w:t>
      </w:r>
    </w:p>
    <w:p>
      <w:pPr>
        <w:autoSpaceDE w:val="0"/>
        <w:autoSpaceDN w:val="0"/>
        <w:spacing w:line="360" w:lineRule="auto"/>
        <w:ind w:firstLine="420" w:firstLineChars="200"/>
        <w:rPr>
          <w:rFonts w:ascii="宋体" w:hAnsi="宋体" w:cs="宋体"/>
          <w:szCs w:val="21"/>
          <w:highlight w:val="none"/>
        </w:rPr>
      </w:pPr>
      <w:r>
        <w:rPr>
          <w:rFonts w:hint="eastAsia" w:ascii="宋体" w:hAnsi="宋体" w:cs="宋体"/>
          <w:color w:val="000000"/>
          <w:szCs w:val="21"/>
          <w:highlight w:val="none"/>
        </w:rPr>
        <w:t>11．</w:t>
      </w:r>
      <w:r>
        <w:rPr>
          <w:rFonts w:hint="eastAsia" w:ascii="宋体" w:hAnsi="宋体" w:cs="宋体"/>
          <w:szCs w:val="21"/>
          <w:highlight w:val="none"/>
        </w:rPr>
        <w:t>乙方应于合同签订后15天内完成耗材采购电商平台的对接、调试、上线测试、并交付甲方正常使用。</w:t>
      </w:r>
    </w:p>
    <w:p>
      <w:pPr>
        <w:autoSpaceDE w:val="0"/>
        <w:autoSpaceDN w:val="0"/>
        <w:spacing w:line="360" w:lineRule="auto"/>
        <w:ind w:firstLine="420" w:firstLineChars="200"/>
        <w:rPr>
          <w:rFonts w:ascii="宋体" w:hAnsi="宋体" w:cs="宋体"/>
          <w:b/>
          <w:szCs w:val="21"/>
          <w:highlight w:val="none"/>
        </w:rPr>
      </w:pPr>
      <w:r>
        <w:rPr>
          <w:rFonts w:hint="eastAsia" w:ascii="宋体" w:hAnsi="宋体" w:cs="宋体"/>
          <w:color w:val="000000"/>
          <w:szCs w:val="21"/>
          <w:highlight w:val="none"/>
        </w:rPr>
        <w:t>12．为避免平台对耗材供应商收费过高导致为甲方提供的货物定价和服务质量受到影响，该收费应具备合理性。乙方需</w:t>
      </w:r>
      <w:r>
        <w:rPr>
          <w:rFonts w:hint="eastAsia" w:ascii="宋体" w:hAnsi="宋体" w:cs="宋体"/>
          <w:szCs w:val="21"/>
          <w:highlight w:val="none"/>
        </w:rPr>
        <w:t>向甲方提供对耗材供应商的各类收费标准和详细的收费方案，若有变动也应在3个工作日内书面告知甲方，在征得甲方同意后方可实施。</w:t>
      </w:r>
    </w:p>
    <w:p>
      <w:pPr>
        <w:tabs>
          <w:tab w:val="left" w:pos="630"/>
          <w:tab w:val="left" w:pos="960"/>
        </w:tabs>
        <w:spacing w:line="360" w:lineRule="auto"/>
        <w:rPr>
          <w:rFonts w:ascii="宋体" w:hAnsi="宋体" w:cs="宋体"/>
          <w:b/>
          <w:szCs w:val="21"/>
          <w:highlight w:val="none"/>
        </w:rPr>
      </w:pPr>
      <w:r>
        <w:rPr>
          <w:rFonts w:hint="eastAsia" w:ascii="宋体" w:hAnsi="宋体" w:cs="宋体"/>
          <w:b/>
          <w:color w:val="000000"/>
          <w:szCs w:val="21"/>
          <w:highlight w:val="none"/>
        </w:rPr>
        <w:t>五、</w:t>
      </w:r>
      <w:r>
        <w:rPr>
          <w:rFonts w:hint="eastAsia" w:ascii="宋体" w:hAnsi="宋体" w:cs="宋体"/>
          <w:b/>
          <w:szCs w:val="21"/>
          <w:highlight w:val="none"/>
        </w:rPr>
        <w:t>服务期限</w:t>
      </w:r>
    </w:p>
    <w:p>
      <w:pPr>
        <w:autoSpaceDE w:val="0"/>
        <w:autoSpaceDN w:val="0"/>
        <w:spacing w:line="360" w:lineRule="auto"/>
        <w:ind w:firstLine="420" w:firstLineChars="200"/>
        <w:rPr>
          <w:rFonts w:ascii="宋体" w:hAnsi="宋体" w:cs="宋体"/>
          <w:color w:val="000000"/>
          <w:szCs w:val="21"/>
          <w:highlight w:val="none"/>
        </w:rPr>
      </w:pPr>
      <w:r>
        <w:rPr>
          <w:rFonts w:hint="eastAsia" w:ascii="宋体" w:hAnsi="宋体" w:cs="宋体"/>
          <w:szCs w:val="21"/>
          <w:highlight w:val="none"/>
        </w:rPr>
        <w:t>自合同生效之日起算，</w:t>
      </w:r>
      <w:r>
        <w:rPr>
          <w:rFonts w:hint="eastAsia" w:ascii="宋体" w:hAnsi="宋体" w:cs="宋体"/>
          <w:color w:val="000000"/>
          <w:szCs w:val="21"/>
          <w:highlight w:val="none"/>
        </w:rPr>
        <w:t>服务期限：3年</w:t>
      </w:r>
    </w:p>
    <w:p>
      <w:pPr>
        <w:tabs>
          <w:tab w:val="left" w:pos="630"/>
          <w:tab w:val="left" w:pos="960"/>
        </w:tabs>
        <w:spacing w:line="360" w:lineRule="auto"/>
        <w:rPr>
          <w:rFonts w:ascii="宋体" w:hAnsi="宋体" w:cs="宋体"/>
          <w:b/>
          <w:color w:val="000000"/>
          <w:szCs w:val="21"/>
          <w:highlight w:val="none"/>
        </w:rPr>
      </w:pPr>
      <w:r>
        <w:rPr>
          <w:rFonts w:hint="eastAsia" w:ascii="宋体" w:hAnsi="宋体" w:cs="宋体"/>
          <w:b/>
          <w:color w:val="000000"/>
          <w:szCs w:val="21"/>
          <w:highlight w:val="none"/>
        </w:rPr>
        <w:t>六、履约保证金</w:t>
      </w:r>
    </w:p>
    <w:p>
      <w:pPr>
        <w:tabs>
          <w:tab w:val="left" w:pos="630"/>
        </w:tabs>
        <w:spacing w:line="360" w:lineRule="auto"/>
        <w:ind w:firstLine="420" w:firstLineChars="200"/>
        <w:rPr>
          <w:rFonts w:ascii="宋体" w:hAnsi="宋体" w:cs="宋体"/>
          <w:color w:val="000000"/>
          <w:szCs w:val="21"/>
          <w:highlight w:val="none"/>
        </w:rPr>
      </w:pPr>
      <w:r>
        <w:rPr>
          <w:rFonts w:hint="eastAsia" w:ascii="宋体" w:hAnsi="宋体" w:cs="宋体"/>
          <w:color w:val="000000" w:themeColor="text1"/>
          <w:szCs w:val="21"/>
          <w:highlight w:val="none"/>
          <w14:textFill>
            <w14:solidFill>
              <w14:schemeClr w14:val="tx1"/>
            </w14:solidFill>
          </w14:textFill>
        </w:rPr>
        <w:t>乙方签订合同前，须向甲方提交履约保证金三万元整；如乙方在服务期限内无违约情况，且平台无质量问题，在服务期限满后，由乙方凭相关单据提出</w:t>
      </w:r>
      <w:r>
        <w:rPr>
          <w:rFonts w:hint="eastAsia" w:ascii="宋体" w:hAnsi="宋体" w:cs="宋体"/>
          <w:szCs w:val="21"/>
          <w:highlight w:val="none"/>
        </w:rPr>
        <w:t>书面申请，甲方在收到申请后在</w:t>
      </w:r>
      <w:r>
        <w:rPr>
          <w:rFonts w:hint="eastAsia" w:ascii="宋体" w:hAnsi="宋体" w:cs="宋体"/>
          <w:color w:val="000000" w:themeColor="text1"/>
          <w:szCs w:val="21"/>
          <w:highlight w:val="none"/>
          <w14:textFill>
            <w14:solidFill>
              <w14:schemeClr w14:val="tx1"/>
            </w14:solidFill>
          </w14:textFill>
        </w:rPr>
        <w:t>十五个工作日内将履约保证金无息退还。（甲方纳税人名称</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华南师范大学，纳税人识别号</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124400004558589190，地址：广州市天河区中山大道西55号，电话：020-85211127，开户银行账号</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3602008109000386071，开户行名称</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工行广州高新技术开发区支行）</w:t>
      </w:r>
    </w:p>
    <w:p>
      <w:pPr>
        <w:tabs>
          <w:tab w:val="left" w:pos="630"/>
          <w:tab w:val="left" w:pos="960"/>
        </w:tabs>
        <w:spacing w:line="360" w:lineRule="auto"/>
        <w:rPr>
          <w:rFonts w:ascii="宋体" w:hAnsi="宋体" w:cs="宋体"/>
          <w:b/>
          <w:color w:val="000000"/>
          <w:szCs w:val="21"/>
          <w:highlight w:val="none"/>
        </w:rPr>
      </w:pPr>
      <w:r>
        <w:rPr>
          <w:rFonts w:hint="eastAsia" w:ascii="宋体" w:hAnsi="宋体" w:cs="宋体"/>
          <w:b/>
          <w:color w:val="000000"/>
          <w:szCs w:val="21"/>
          <w:highlight w:val="none"/>
        </w:rPr>
        <w:t>七、售后服务</w:t>
      </w:r>
    </w:p>
    <w:p>
      <w:pPr>
        <w:tabs>
          <w:tab w:val="left" w:pos="7740"/>
        </w:tabs>
        <w:autoSpaceDE w:val="0"/>
        <w:autoSpaceDN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szCs w:val="21"/>
          <w:highlight w:val="none"/>
        </w:rPr>
        <w:t>．</w:t>
      </w:r>
      <w:r>
        <w:rPr>
          <w:rFonts w:hint="eastAsia" w:ascii="宋体" w:hAnsi="宋体" w:cs="宋体"/>
          <w:color w:val="000000" w:themeColor="text1"/>
          <w:szCs w:val="21"/>
          <w:highlight w:val="none"/>
          <w14:textFill>
            <w14:solidFill>
              <w14:schemeClr w14:val="tx1"/>
            </w14:solidFill>
          </w14:textFill>
        </w:rPr>
        <w:t>本项目采购的电商平台顺利上线后，乙方须提供3年的免费维保服务，保证平台顺利运行，维保时间从项目通过甲方验收</w:t>
      </w:r>
      <w:r>
        <w:rPr>
          <w:rFonts w:hint="eastAsia" w:ascii="宋体" w:hAnsi="宋体" w:cs="宋体"/>
          <w:szCs w:val="21"/>
          <w:highlight w:val="none"/>
        </w:rPr>
        <w:t>合格并</w:t>
      </w:r>
      <w:r>
        <w:rPr>
          <w:rFonts w:hint="eastAsia" w:ascii="宋体" w:hAnsi="宋体" w:cs="宋体"/>
          <w:color w:val="000000" w:themeColor="text1"/>
          <w:szCs w:val="21"/>
          <w:highlight w:val="none"/>
          <w14:textFill>
            <w14:solidFill>
              <w14:schemeClr w14:val="tx1"/>
            </w14:solidFill>
          </w14:textFill>
        </w:rPr>
        <w:t>交付正常使用时起算。对甲方的服务通知，乙方必须在接报后2小时内响应，4小时内到达现场，24小时内处理完毕。超过48小时仍不能处理完毕的，维保期相应顺延。</w:t>
      </w:r>
    </w:p>
    <w:p>
      <w:pPr>
        <w:tabs>
          <w:tab w:val="left" w:pos="7740"/>
        </w:tabs>
        <w:autoSpaceDE w:val="0"/>
        <w:autoSpaceDN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2.如因乙方的技术问题或其他原因（不可抗力情况除外）导致平台不能正常提供服务，乙方应及时修复，如超过15天无法正常使用，甲方有权单方面终止合同，并没收履约保证金。</w:t>
      </w:r>
    </w:p>
    <w:p>
      <w:pPr>
        <w:tabs>
          <w:tab w:val="left" w:pos="7740"/>
        </w:tabs>
        <w:autoSpaceDE w:val="0"/>
        <w:autoSpaceDN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宋体"/>
          <w:color w:val="000000"/>
          <w:szCs w:val="21"/>
          <w:highlight w:val="none"/>
        </w:rPr>
        <w:t>．</w:t>
      </w:r>
      <w:r>
        <w:rPr>
          <w:rFonts w:hint="eastAsia" w:ascii="宋体" w:hAnsi="宋体" w:cs="宋体"/>
          <w:color w:val="000000" w:themeColor="text1"/>
          <w:szCs w:val="21"/>
          <w:highlight w:val="none"/>
          <w14:textFill>
            <w14:solidFill>
              <w14:schemeClr w14:val="tx1"/>
            </w14:solidFill>
          </w14:textFill>
        </w:rPr>
        <w:t>乙方在免费维保期内须提供周期上门免费服务：周期为1个月一次，形式为由甲方提出预约，乙方服务人员上门服务，服务内容为周期数据备份、检测系统运行状况、处理使用过程中出现的问题等。</w:t>
      </w:r>
    </w:p>
    <w:p>
      <w:pPr>
        <w:tabs>
          <w:tab w:val="left" w:pos="7740"/>
        </w:tabs>
        <w:autoSpaceDE w:val="0"/>
        <w:autoSpaceDN w:val="0"/>
        <w:spacing w:line="360" w:lineRule="auto"/>
        <w:ind w:firstLine="315" w:firstLineChars="150"/>
        <w:rPr>
          <w:rFonts w:ascii="宋体" w:hAnsi="宋体" w:cs="宋体"/>
          <w:color w:val="000000"/>
          <w:szCs w:val="21"/>
          <w:highlight w:val="none"/>
        </w:rPr>
      </w:pPr>
      <w:r>
        <w:rPr>
          <w:rFonts w:hint="eastAsia" w:ascii="宋体" w:hAnsi="宋体" w:cs="宋体"/>
          <w:color w:val="000000" w:themeColor="text1"/>
          <w:szCs w:val="21"/>
          <w:highlight w:val="none"/>
          <w14:textFill>
            <w14:solidFill>
              <w14:schemeClr w14:val="tx1"/>
            </w14:solidFill>
          </w14:textFill>
        </w:rPr>
        <w:t xml:space="preserve"> 4</w:t>
      </w:r>
      <w:r>
        <w:rPr>
          <w:rFonts w:hint="eastAsia" w:ascii="宋体" w:hAnsi="宋体" w:cs="宋体"/>
          <w:color w:val="000000"/>
          <w:szCs w:val="21"/>
          <w:highlight w:val="none"/>
        </w:rPr>
        <w:t>．</w:t>
      </w:r>
      <w:r>
        <w:rPr>
          <w:rFonts w:hint="eastAsia" w:ascii="宋体" w:hAnsi="宋体" w:cs="宋体"/>
          <w:color w:val="000000" w:themeColor="text1"/>
          <w:szCs w:val="21"/>
          <w:highlight w:val="none"/>
          <w14:textFill>
            <w14:solidFill>
              <w14:schemeClr w14:val="tx1"/>
            </w14:solidFill>
          </w14:textFill>
        </w:rPr>
        <w:t>升级保障：乙方应能对甲方后期提出的使用流程需求进行免费升级改</w:t>
      </w:r>
      <w:r>
        <w:rPr>
          <w:rFonts w:hint="eastAsia" w:ascii="宋体" w:hAnsi="宋体" w:cs="宋体"/>
          <w:color w:val="000000"/>
          <w:szCs w:val="21"/>
          <w:highlight w:val="none"/>
        </w:rPr>
        <w:t>造，由甲乙双方根据实际业务需求及可行性共同评估和商议确定升级改造的内容和实现方式。</w:t>
      </w:r>
    </w:p>
    <w:p>
      <w:pPr>
        <w:tabs>
          <w:tab w:val="left" w:pos="7740"/>
        </w:tabs>
        <w:autoSpaceDE w:val="0"/>
        <w:autoSpaceDN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5．维护保障：系统交付使用后，乙方需配备5名以上专职软件技术人员进行服务响应。</w:t>
      </w:r>
    </w:p>
    <w:p>
      <w:pPr>
        <w:tabs>
          <w:tab w:val="left" w:pos="7740"/>
        </w:tabs>
        <w:autoSpaceDE w:val="0"/>
        <w:autoSpaceDN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6．系统交付使用后，根据甲方的要求提供免费的培训服务。乙方应根据自身系统设备情况，提供专业培训，直至甲方用户全面掌握使用方法。如遇到甲方用户人员变动，乙方要根据甲方要求，无条件提供免费培训服务。</w:t>
      </w:r>
    </w:p>
    <w:p>
      <w:pPr>
        <w:tabs>
          <w:tab w:val="left" w:pos="7740"/>
        </w:tabs>
        <w:autoSpaceDE w:val="0"/>
        <w:autoSpaceDN w:val="0"/>
        <w:spacing w:line="360" w:lineRule="auto"/>
        <w:rPr>
          <w:rFonts w:ascii="宋体" w:hAnsi="宋体" w:cs="宋体"/>
          <w:b/>
          <w:color w:val="000000"/>
          <w:szCs w:val="21"/>
          <w:highlight w:val="none"/>
        </w:rPr>
      </w:pPr>
      <w:r>
        <w:rPr>
          <w:rFonts w:hint="eastAsia" w:ascii="宋体" w:hAnsi="宋体" w:cs="宋体"/>
          <w:b/>
          <w:color w:val="000000"/>
          <w:szCs w:val="21"/>
          <w:highlight w:val="none"/>
        </w:rPr>
        <w:t>八、知识产权、风险转移</w:t>
      </w:r>
    </w:p>
    <w:p>
      <w:pPr>
        <w:tabs>
          <w:tab w:val="left" w:pos="900"/>
        </w:tabs>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1 ．乙方应保证，甲方在中华人民共和国使用乙方为执行本合同所提供的软件、资料、技术、服务或其任何一部分时，如受第三方提出的侵犯其专利权、商标权或其他知识产权的起诉，由乙方承担一切责任。 </w:t>
      </w:r>
    </w:p>
    <w:p>
      <w:pPr>
        <w:tabs>
          <w:tab w:val="left" w:pos="900"/>
        </w:tabs>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2 ．甲方可无偿使用乙方为执行本合同而提供的技术资料、软件。 </w:t>
      </w:r>
    </w:p>
    <w:p>
      <w:pPr>
        <w:tabs>
          <w:tab w:val="left" w:pos="900"/>
        </w:tabs>
        <w:spacing w:line="360" w:lineRule="auto"/>
        <w:rPr>
          <w:rFonts w:ascii="宋体" w:hAnsi="宋体" w:cs="宋体"/>
          <w:b/>
          <w:color w:val="000000"/>
          <w:szCs w:val="21"/>
          <w:highlight w:val="none"/>
        </w:rPr>
      </w:pPr>
      <w:r>
        <w:rPr>
          <w:rFonts w:hint="eastAsia" w:ascii="宋体" w:hAnsi="宋体" w:cs="宋体"/>
          <w:b/>
          <w:color w:val="000000"/>
          <w:szCs w:val="21"/>
          <w:highlight w:val="none"/>
        </w:rPr>
        <w:t>九、争端的解决</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合同执行过程中发生的任何争议，如双方不能通过友好协商解决，任何一方均可向甲方所在地（广州市天河区）法院起诉。</w:t>
      </w:r>
    </w:p>
    <w:p>
      <w:pPr>
        <w:spacing w:line="360" w:lineRule="auto"/>
        <w:rPr>
          <w:rFonts w:ascii="宋体" w:hAnsi="宋体" w:cs="宋体"/>
          <w:b/>
          <w:color w:val="000000"/>
          <w:szCs w:val="21"/>
          <w:highlight w:val="none"/>
        </w:rPr>
      </w:pPr>
      <w:r>
        <w:rPr>
          <w:rFonts w:hint="eastAsia" w:ascii="宋体" w:hAnsi="宋体" w:cs="宋体"/>
          <w:b/>
          <w:color w:val="000000"/>
          <w:szCs w:val="21"/>
          <w:highlight w:val="none"/>
        </w:rPr>
        <w:t>十、不可抗力</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spacing w:line="360" w:lineRule="auto"/>
        <w:rPr>
          <w:rFonts w:ascii="宋体" w:hAnsi="宋体" w:cs="宋体"/>
          <w:b/>
          <w:color w:val="000000"/>
          <w:szCs w:val="21"/>
          <w:highlight w:val="none"/>
        </w:rPr>
      </w:pPr>
      <w:r>
        <w:rPr>
          <w:rFonts w:hint="eastAsia" w:ascii="宋体" w:hAnsi="宋体" w:cs="宋体"/>
          <w:b/>
          <w:color w:val="000000"/>
          <w:szCs w:val="21"/>
          <w:highlight w:val="none"/>
        </w:rPr>
        <w:t>十一、其它</w:t>
      </w:r>
    </w:p>
    <w:p>
      <w:pPr>
        <w:spacing w:line="360" w:lineRule="auto"/>
        <w:ind w:firstLine="420" w:firstLineChars="200"/>
        <w:rPr>
          <w:rFonts w:ascii="宋体" w:hAnsi="宋体" w:cs="宋体"/>
          <w:b/>
          <w:color w:val="000000"/>
          <w:szCs w:val="21"/>
          <w:highlight w:val="none"/>
        </w:rPr>
      </w:pPr>
      <w:r>
        <w:rPr>
          <w:rFonts w:hint="eastAsia" w:ascii="宋体" w:hAnsi="宋体" w:cs="宋体"/>
          <w:color w:val="000000"/>
          <w:szCs w:val="21"/>
          <w:highlight w:val="none"/>
        </w:rPr>
        <w:t>1．本合同附件（即：项目概况及技术服务要求）、采购文件、乙方响应文件、成交通知书均为合同的有效组成部分，与本合同具有同等法律效力。</w:t>
      </w:r>
    </w:p>
    <w:p>
      <w:pPr>
        <w:spacing w:line="360" w:lineRule="auto"/>
        <w:ind w:firstLine="420" w:firstLineChars="200"/>
        <w:rPr>
          <w:rFonts w:ascii="宋体" w:hAnsi="宋体" w:cs="宋体"/>
          <w:color w:val="000000"/>
          <w:szCs w:val="21"/>
          <w:highlight w:val="none"/>
        </w:rPr>
      </w:pPr>
      <w:r>
        <w:rPr>
          <w:rFonts w:hint="eastAsia" w:ascii="宋体" w:hAnsi="宋体" w:cs="宋体"/>
          <w:bCs/>
          <w:color w:val="000000"/>
          <w:szCs w:val="21"/>
          <w:highlight w:val="none"/>
        </w:rPr>
        <w:t>2</w:t>
      </w:r>
      <w:r>
        <w:rPr>
          <w:rFonts w:hint="eastAsia" w:ascii="宋体" w:hAnsi="宋体" w:cs="宋体"/>
          <w:color w:val="000000"/>
          <w:szCs w:val="21"/>
          <w:highlight w:val="none"/>
        </w:rPr>
        <w:t>．在执行本合同的过程中，所有经双方签署确认的文件（包括会议纪要、补充协议、往来信函等）也为本合同的有效组成部分。</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3．如一方地址、电话、传真号码有变更，应在变更当日内通知对方，否则，应承担相应责任。 </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4．除甲方事先书面同意外，乙方不得部分或全部转让其应履行的合同项下的义务。</w:t>
      </w:r>
    </w:p>
    <w:p>
      <w:pPr>
        <w:spacing w:line="360" w:lineRule="auto"/>
        <w:rPr>
          <w:rFonts w:ascii="宋体" w:hAnsi="宋体" w:cs="宋体"/>
          <w:b/>
          <w:color w:val="000000"/>
          <w:szCs w:val="21"/>
          <w:highlight w:val="none"/>
        </w:rPr>
      </w:pPr>
      <w:r>
        <w:rPr>
          <w:rFonts w:hint="eastAsia" w:ascii="宋体" w:hAnsi="宋体" w:cs="宋体"/>
          <w:b/>
          <w:color w:val="000000"/>
          <w:szCs w:val="21"/>
          <w:highlight w:val="none"/>
        </w:rPr>
        <w:t>十二、合同生效：</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1．本合同共    页，在甲乙双方法人代表或其授权代表签字盖章后生效。</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2．本合同一式四份，双方各持两份，具有同等法律效力。</w:t>
      </w:r>
    </w:p>
    <w:p>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（以下无正文）</w:t>
      </w:r>
    </w:p>
    <w:p>
      <w:pPr>
        <w:spacing w:line="360" w:lineRule="auto"/>
        <w:rPr>
          <w:rFonts w:hint="eastAsia" w:ascii="宋体" w:hAnsi="宋体" w:cs="宋体"/>
          <w:color w:val="000000"/>
          <w:szCs w:val="21"/>
          <w:highlight w:val="none"/>
        </w:rPr>
      </w:pPr>
    </w:p>
    <w:tbl>
      <w:tblPr>
        <w:tblStyle w:val="46"/>
        <w:tblW w:w="9286" w:type="dxa"/>
        <w:jc w:val="center"/>
        <w:tblInd w:w="0" w:type="dxa"/>
        <w:tblLayout w:type="fixed"/>
        <w:tblCellMar>
          <w:top w:w="0" w:type="dxa"/>
          <w:left w:w="108" w:type="dxa"/>
          <w:bottom w:w="0" w:type="dxa"/>
          <w:right w:w="108" w:type="dxa"/>
        </w:tblCellMar>
      </w:tblPr>
      <w:tblGrid>
        <w:gridCol w:w="4643"/>
        <w:gridCol w:w="4643"/>
      </w:tblGrid>
      <w:tr>
        <w:tblPrEx>
          <w:tblLayout w:type="fixed"/>
          <w:tblCellMar>
            <w:top w:w="0" w:type="dxa"/>
            <w:left w:w="108" w:type="dxa"/>
            <w:bottom w:w="0" w:type="dxa"/>
            <w:right w:w="108" w:type="dxa"/>
          </w:tblCellMar>
        </w:tblPrEx>
        <w:trPr>
          <w:jc w:val="center"/>
        </w:trPr>
        <w:tc>
          <w:tcPr>
            <w:tcW w:w="4643" w:type="dxa"/>
          </w:tcPr>
          <w:p>
            <w:pPr>
              <w:spacing w:line="360" w:lineRule="auto"/>
              <w:rPr>
                <w:rFonts w:ascii="宋体" w:hAnsi="宋体" w:cs="宋体"/>
                <w:b/>
                <w:szCs w:val="21"/>
                <w:highlight w:val="none"/>
              </w:rPr>
            </w:pPr>
            <w:r>
              <w:rPr>
                <w:rFonts w:hint="eastAsia" w:ascii="宋体" w:hAnsi="宋体" w:cs="宋体"/>
                <w:b/>
                <w:szCs w:val="21"/>
                <w:highlight w:val="none"/>
              </w:rPr>
              <w:t>甲方（盖章）：</w:t>
            </w:r>
          </w:p>
          <w:p>
            <w:pPr>
              <w:spacing w:line="360" w:lineRule="auto"/>
              <w:rPr>
                <w:rFonts w:ascii="宋体" w:hAnsi="宋体" w:cs="宋体"/>
                <w:b/>
                <w:szCs w:val="21"/>
                <w:highlight w:val="none"/>
              </w:rPr>
            </w:pPr>
            <w:r>
              <w:rPr>
                <w:rFonts w:hint="eastAsia" w:ascii="宋体" w:hAnsi="宋体" w:cs="宋体"/>
                <w:b/>
                <w:szCs w:val="21"/>
                <w:highlight w:val="none"/>
              </w:rPr>
              <w:t xml:space="preserve">华南师范大学 </w:t>
            </w:r>
          </w:p>
        </w:tc>
        <w:tc>
          <w:tcPr>
            <w:tcW w:w="4643" w:type="dxa"/>
          </w:tcPr>
          <w:p>
            <w:pPr>
              <w:spacing w:line="360" w:lineRule="auto"/>
              <w:rPr>
                <w:rFonts w:ascii="宋体" w:hAnsi="宋体" w:cs="宋体"/>
                <w:b/>
                <w:szCs w:val="21"/>
                <w:highlight w:val="none"/>
              </w:rPr>
            </w:pPr>
            <w:r>
              <w:rPr>
                <w:rFonts w:hint="eastAsia" w:ascii="宋体" w:hAnsi="宋体" w:cs="宋体"/>
                <w:b/>
                <w:szCs w:val="21"/>
                <w:highlight w:val="none"/>
              </w:rPr>
              <w:t>乙方（盖章）：</w:t>
            </w:r>
          </w:p>
        </w:tc>
      </w:tr>
      <w:tr>
        <w:tblPrEx>
          <w:tblLayout w:type="fixed"/>
          <w:tblCellMar>
            <w:top w:w="0" w:type="dxa"/>
            <w:left w:w="108" w:type="dxa"/>
            <w:bottom w:w="0" w:type="dxa"/>
            <w:right w:w="108" w:type="dxa"/>
          </w:tblCellMar>
        </w:tblPrEx>
        <w:trPr>
          <w:jc w:val="center"/>
        </w:trPr>
        <w:tc>
          <w:tcPr>
            <w:tcW w:w="4643" w:type="dxa"/>
          </w:tcPr>
          <w:p>
            <w:pPr>
              <w:spacing w:line="360" w:lineRule="auto"/>
              <w:rPr>
                <w:rFonts w:ascii="宋体" w:hAnsi="宋体" w:cs="宋体"/>
                <w:b/>
                <w:szCs w:val="21"/>
                <w:highlight w:val="none"/>
              </w:rPr>
            </w:pPr>
            <w:r>
              <w:rPr>
                <w:rFonts w:hint="eastAsia" w:ascii="宋体" w:hAnsi="宋体" w:cs="宋体"/>
                <w:b/>
                <w:szCs w:val="21"/>
                <w:highlight w:val="none"/>
              </w:rPr>
              <w:t>甲方代表（签字）：</w:t>
            </w:r>
          </w:p>
        </w:tc>
        <w:tc>
          <w:tcPr>
            <w:tcW w:w="4643" w:type="dxa"/>
          </w:tcPr>
          <w:p>
            <w:pPr>
              <w:spacing w:line="360" w:lineRule="auto"/>
              <w:rPr>
                <w:rFonts w:ascii="宋体" w:hAnsi="宋体" w:cs="宋体"/>
                <w:b/>
                <w:szCs w:val="21"/>
                <w:highlight w:val="none"/>
              </w:rPr>
            </w:pPr>
            <w:r>
              <w:rPr>
                <w:rFonts w:hint="eastAsia" w:ascii="宋体" w:hAnsi="宋体" w:cs="宋体"/>
                <w:b/>
                <w:szCs w:val="21"/>
                <w:highlight w:val="none"/>
              </w:rPr>
              <w:t>乙方代表（签字）：</w:t>
            </w:r>
          </w:p>
        </w:tc>
      </w:tr>
      <w:tr>
        <w:tblPrEx>
          <w:tblLayout w:type="fixed"/>
          <w:tblCellMar>
            <w:top w:w="0" w:type="dxa"/>
            <w:left w:w="108" w:type="dxa"/>
            <w:bottom w:w="0" w:type="dxa"/>
            <w:right w:w="108" w:type="dxa"/>
          </w:tblCellMar>
        </w:tblPrEx>
        <w:trPr>
          <w:jc w:val="center"/>
        </w:trPr>
        <w:tc>
          <w:tcPr>
            <w:tcW w:w="4643" w:type="dxa"/>
          </w:tcPr>
          <w:p>
            <w:pPr>
              <w:spacing w:line="360" w:lineRule="auto"/>
              <w:rPr>
                <w:rFonts w:ascii="宋体" w:hAnsi="宋体" w:cs="宋体"/>
                <w:b/>
                <w:szCs w:val="21"/>
                <w:highlight w:val="none"/>
              </w:rPr>
            </w:pPr>
            <w:r>
              <w:rPr>
                <w:rFonts w:hint="eastAsia" w:ascii="宋体" w:hAnsi="宋体" w:cs="宋体"/>
                <w:b/>
                <w:szCs w:val="21"/>
                <w:highlight w:val="none"/>
              </w:rPr>
              <w:t xml:space="preserve">    年  月  日</w:t>
            </w:r>
          </w:p>
        </w:tc>
        <w:tc>
          <w:tcPr>
            <w:tcW w:w="4643" w:type="dxa"/>
          </w:tcPr>
          <w:p>
            <w:pPr>
              <w:spacing w:line="360" w:lineRule="auto"/>
              <w:rPr>
                <w:rFonts w:ascii="宋体" w:hAnsi="宋体" w:cs="宋体"/>
                <w:b/>
                <w:szCs w:val="21"/>
                <w:highlight w:val="none"/>
              </w:rPr>
            </w:pPr>
            <w:r>
              <w:rPr>
                <w:rFonts w:hint="eastAsia" w:ascii="宋体" w:hAnsi="宋体" w:cs="宋体"/>
                <w:b/>
                <w:szCs w:val="21"/>
                <w:highlight w:val="none"/>
              </w:rPr>
              <w:t xml:space="preserve">    年  月  日</w:t>
            </w:r>
          </w:p>
        </w:tc>
      </w:tr>
    </w:tbl>
    <w:p>
      <w:pPr>
        <w:spacing w:line="360" w:lineRule="auto"/>
        <w:rPr>
          <w:rFonts w:ascii="宋体" w:hAnsi="宋体" w:cs="宋体"/>
          <w:b/>
          <w:color w:val="000000"/>
          <w:szCs w:val="21"/>
          <w:highlight w:val="none"/>
        </w:rPr>
      </w:pPr>
    </w:p>
    <w:p>
      <w:pPr>
        <w:spacing w:line="360" w:lineRule="auto"/>
        <w:rPr>
          <w:rFonts w:ascii="宋体" w:hAnsi="宋体" w:cs="宋体"/>
          <w:b/>
          <w:color w:val="000000"/>
          <w:szCs w:val="21"/>
          <w:highlight w:val="none"/>
        </w:rPr>
      </w:pPr>
    </w:p>
    <w:p>
      <w:pPr>
        <w:spacing w:line="360" w:lineRule="auto"/>
        <w:rPr>
          <w:rFonts w:ascii="宋体" w:hAnsi="宋体" w:cs="宋体"/>
          <w:b/>
          <w:color w:val="000000"/>
          <w:szCs w:val="21"/>
          <w:highlight w:val="none"/>
        </w:rPr>
      </w:pPr>
    </w:p>
    <w:p>
      <w:pPr>
        <w:rPr>
          <w:rFonts w:ascii="宋体" w:hAnsi="宋体" w:cs="宋体"/>
          <w:b/>
          <w:color w:val="000000"/>
          <w:szCs w:val="21"/>
          <w:highlight w:val="none"/>
        </w:rPr>
      </w:pPr>
    </w:p>
    <w:p>
      <w:pPr>
        <w:rPr>
          <w:rFonts w:ascii="宋体" w:hAnsi="宋体" w:cs="宋体"/>
          <w:b/>
          <w:color w:val="000000"/>
          <w:szCs w:val="21"/>
          <w:highlight w:val="none"/>
        </w:rPr>
      </w:pPr>
      <w:r>
        <w:rPr>
          <w:rFonts w:hint="eastAsia" w:ascii="宋体" w:hAnsi="宋体" w:cs="宋体"/>
          <w:b/>
          <w:color w:val="000000"/>
          <w:szCs w:val="21"/>
          <w:highlight w:val="none"/>
        </w:rPr>
        <w:t>附件：项目概况及技术服务要求</w:t>
      </w:r>
    </w:p>
    <w:p>
      <w:pPr>
        <w:rPr>
          <w:highlight w:val="none"/>
        </w:rPr>
      </w:pPr>
    </w:p>
    <w:p>
      <w:pPr>
        <w:spacing w:line="360" w:lineRule="auto"/>
        <w:rPr>
          <w:rFonts w:ascii="宋体" w:hAnsi="宋体" w:cs="宋体"/>
          <w:b/>
          <w:szCs w:val="22"/>
          <w:highlight w:val="none"/>
        </w:rPr>
      </w:pPr>
    </w:p>
    <w:p>
      <w:pPr>
        <w:pStyle w:val="2"/>
        <w:spacing w:before="200" w:after="200" w:line="360" w:lineRule="auto"/>
        <w:jc w:val="center"/>
        <w:rPr>
          <w:rFonts w:ascii="宋体" w:hAnsi="宋体" w:cs="宋体"/>
          <w:sz w:val="24"/>
          <w:szCs w:val="24"/>
          <w:highlight w:val="none"/>
        </w:rPr>
      </w:pPr>
      <w:r>
        <w:rPr>
          <w:rFonts w:hint="eastAsia" w:ascii="宋体" w:hAnsi="宋体" w:cs="宋体"/>
          <w:sz w:val="24"/>
          <w:szCs w:val="24"/>
          <w:highlight w:val="none"/>
        </w:rPr>
        <w:br w:type="page"/>
      </w:r>
      <w:bookmarkStart w:id="1990" w:name="_Toc17863"/>
      <w:bookmarkStart w:id="1991" w:name="_Toc12421"/>
      <w:bookmarkStart w:id="1992" w:name="_Toc32663"/>
      <w:bookmarkStart w:id="1993" w:name="_Toc25145"/>
      <w:bookmarkStart w:id="1994" w:name="_Toc12790"/>
      <w:r>
        <w:rPr>
          <w:rFonts w:hint="eastAsia" w:ascii="宋体" w:hAnsi="宋体" w:cs="宋体"/>
          <w:sz w:val="24"/>
          <w:szCs w:val="24"/>
          <w:highlight w:val="none"/>
        </w:rPr>
        <w:t xml:space="preserve">第四章 </w:t>
      </w:r>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r>
        <w:rPr>
          <w:rFonts w:hint="eastAsia" w:ascii="宋体" w:hAnsi="宋体" w:cs="宋体"/>
          <w:sz w:val="24"/>
          <w:szCs w:val="24"/>
          <w:highlight w:val="none"/>
        </w:rPr>
        <w:t>评审办法及程序</w:t>
      </w:r>
      <w:bookmarkEnd w:id="1963"/>
      <w:bookmarkEnd w:id="1964"/>
      <w:bookmarkEnd w:id="1965"/>
      <w:bookmarkEnd w:id="1966"/>
      <w:bookmarkEnd w:id="1982"/>
      <w:bookmarkEnd w:id="1983"/>
      <w:bookmarkEnd w:id="1984"/>
      <w:bookmarkEnd w:id="1985"/>
      <w:bookmarkEnd w:id="1986"/>
      <w:bookmarkEnd w:id="1987"/>
      <w:bookmarkEnd w:id="1988"/>
      <w:bookmarkEnd w:id="1989"/>
      <w:bookmarkEnd w:id="1990"/>
      <w:bookmarkEnd w:id="1991"/>
      <w:bookmarkEnd w:id="1992"/>
      <w:bookmarkEnd w:id="1993"/>
      <w:bookmarkEnd w:id="1994"/>
    </w:p>
    <w:p>
      <w:pPr>
        <w:widowControl w:val="0"/>
        <w:numPr>
          <w:ilvl w:val="0"/>
          <w:numId w:val="0"/>
        </w:numPr>
        <w:spacing w:line="360" w:lineRule="auto"/>
        <w:outlineLvl w:val="1"/>
        <w:rPr>
          <w:rFonts w:ascii="宋体" w:hAnsi="宋体" w:cs="宋体"/>
          <w:b/>
          <w:bCs/>
          <w:szCs w:val="21"/>
          <w:highlight w:val="none"/>
        </w:rPr>
      </w:pPr>
      <w:bookmarkStart w:id="1995" w:name="_Toc519164554"/>
      <w:bookmarkStart w:id="1996" w:name="_Toc526766040"/>
      <w:bookmarkStart w:id="1997" w:name="_Toc497687620"/>
      <w:bookmarkStart w:id="1998" w:name="_Toc502737320"/>
      <w:bookmarkStart w:id="1999" w:name="_Toc3918"/>
      <w:bookmarkStart w:id="2000" w:name="_Toc519164408"/>
      <w:bookmarkStart w:id="2001" w:name="_Toc22879"/>
      <w:bookmarkStart w:id="2002" w:name="_Toc497225723"/>
      <w:bookmarkStart w:id="2003" w:name="_Toc532567233"/>
      <w:bookmarkStart w:id="2004" w:name="_Toc30935"/>
      <w:bookmarkStart w:id="2005" w:name="_Toc5786"/>
      <w:bookmarkStart w:id="2006" w:name="_Toc32385"/>
      <w:bookmarkStart w:id="2007" w:name="_Toc10272"/>
      <w:bookmarkStart w:id="2008" w:name="_Toc2013"/>
      <w:bookmarkStart w:id="2009" w:name="_Toc12399"/>
      <w:bookmarkStart w:id="2010" w:name="_Toc41723931"/>
      <w:bookmarkStart w:id="2011" w:name="_Toc50276153"/>
      <w:bookmarkStart w:id="2012" w:name="_Toc98580289"/>
      <w:bookmarkStart w:id="2013" w:name="_Toc98579007"/>
      <w:bookmarkStart w:id="2014" w:name="_Toc98579606"/>
      <w:bookmarkStart w:id="2015" w:name="_Toc42394669"/>
      <w:bookmarkStart w:id="2016" w:name="_Toc42394513"/>
      <w:bookmarkStart w:id="2017" w:name="_Toc469512688"/>
      <w:bookmarkStart w:id="2018" w:name="_Toc98579065"/>
      <w:bookmarkStart w:id="2019" w:name="_Toc469512914"/>
      <w:bookmarkStart w:id="2020" w:name="_Toc41884701"/>
      <w:bookmarkStart w:id="2021" w:name="_Toc42313167"/>
    </w:p>
    <w:p>
      <w:pPr>
        <w:widowControl w:val="0"/>
        <w:numPr>
          <w:ilvl w:val="0"/>
          <w:numId w:val="0"/>
        </w:numPr>
        <w:spacing w:line="360" w:lineRule="auto"/>
        <w:ind w:firstLine="422" w:firstLineChars="200"/>
        <w:outlineLvl w:val="1"/>
        <w:rPr>
          <w:rFonts w:hint="eastAsia" w:ascii="宋体" w:hAnsi="宋体" w:cs="宋体"/>
          <w:b/>
          <w:bCs/>
          <w:szCs w:val="21"/>
          <w:highlight w:val="none"/>
        </w:rPr>
      </w:pPr>
      <w:bookmarkStart w:id="2022" w:name="_Toc18754"/>
      <w:bookmarkStart w:id="2023" w:name="_Toc13001"/>
      <w:r>
        <w:rPr>
          <w:rFonts w:hint="eastAsia" w:ascii="宋体" w:hAnsi="宋体" w:cs="宋体"/>
          <w:b/>
          <w:bCs/>
          <w:szCs w:val="21"/>
          <w:highlight w:val="none"/>
        </w:rPr>
        <w:t>（</w:t>
      </w:r>
      <w:r>
        <w:rPr>
          <w:rFonts w:hint="eastAsia" w:ascii="宋体" w:hAnsi="宋体" w:cs="宋体"/>
          <w:b/>
          <w:bCs/>
          <w:szCs w:val="21"/>
          <w:highlight w:val="none"/>
          <w:lang w:val="en-US" w:eastAsia="zh-CN"/>
        </w:rPr>
        <w:t>一</w:t>
      </w:r>
      <w:r>
        <w:rPr>
          <w:rFonts w:hint="eastAsia" w:ascii="宋体" w:hAnsi="宋体" w:cs="宋体"/>
          <w:b/>
          <w:bCs/>
          <w:szCs w:val="21"/>
          <w:highlight w:val="none"/>
        </w:rPr>
        <w:t>）通过资格性或符合性审查的</w:t>
      </w:r>
      <w:r>
        <w:rPr>
          <w:rFonts w:hint="eastAsia" w:ascii="宋体" w:hAnsi="宋体"/>
          <w:b/>
          <w:bCs/>
          <w:szCs w:val="21"/>
          <w:highlight w:val="none"/>
        </w:rPr>
        <w:t>有效</w:t>
      </w:r>
      <w:r>
        <w:rPr>
          <w:rFonts w:hint="eastAsia" w:ascii="宋体" w:hAnsi="宋体"/>
          <w:b/>
          <w:bCs/>
          <w:szCs w:val="21"/>
          <w:highlight w:val="none"/>
          <w:lang w:val="en-US" w:eastAsia="zh-CN"/>
        </w:rPr>
        <w:t>供应商</w:t>
      </w:r>
      <w:r>
        <w:rPr>
          <w:rFonts w:hint="eastAsia" w:ascii="宋体" w:hAnsi="宋体" w:cs="宋体"/>
          <w:b/>
          <w:bCs/>
          <w:szCs w:val="21"/>
          <w:highlight w:val="none"/>
        </w:rPr>
        <w:t>大于等于三家的，本项目按</w:t>
      </w:r>
      <w:r>
        <w:rPr>
          <w:rFonts w:hint="eastAsia" w:ascii="宋体" w:hAnsi="宋体" w:cs="宋体"/>
          <w:b/>
          <w:bCs/>
          <w:szCs w:val="21"/>
          <w:highlight w:val="none"/>
          <w:lang w:val="en-US" w:eastAsia="zh-CN"/>
        </w:rPr>
        <w:t>竞争性磋商</w:t>
      </w:r>
      <w:r>
        <w:rPr>
          <w:rFonts w:hint="eastAsia" w:ascii="宋体" w:hAnsi="宋体" w:cs="宋体"/>
          <w:b/>
          <w:bCs/>
          <w:szCs w:val="21"/>
          <w:highlight w:val="none"/>
        </w:rPr>
        <w:t>完成采购。</w:t>
      </w:r>
      <w:bookmarkEnd w:id="2022"/>
      <w:bookmarkEnd w:id="2023"/>
    </w:p>
    <w:p>
      <w:pPr>
        <w:widowControl w:val="0"/>
        <w:numPr>
          <w:ilvl w:val="0"/>
          <w:numId w:val="0"/>
        </w:numPr>
        <w:spacing w:line="360" w:lineRule="auto"/>
        <w:ind w:firstLine="422" w:firstLineChars="200"/>
        <w:outlineLvl w:val="1"/>
        <w:rPr>
          <w:rFonts w:hint="eastAsia" w:ascii="宋体" w:hAnsi="宋体" w:cs="宋体"/>
          <w:b/>
          <w:bCs/>
          <w:szCs w:val="21"/>
          <w:highlight w:val="none"/>
        </w:rPr>
      </w:pPr>
      <w:bookmarkStart w:id="2024" w:name="_Toc18385"/>
      <w:bookmarkStart w:id="2025" w:name="_Toc23641"/>
      <w:r>
        <w:rPr>
          <w:rFonts w:hint="eastAsia" w:ascii="宋体" w:hAnsi="宋体" w:cs="宋体"/>
          <w:b/>
          <w:bCs/>
          <w:szCs w:val="21"/>
          <w:highlight w:val="none"/>
        </w:rPr>
        <w:t>（</w:t>
      </w:r>
      <w:r>
        <w:rPr>
          <w:rFonts w:hint="eastAsia" w:ascii="宋体" w:hAnsi="宋体" w:cs="宋体"/>
          <w:b/>
          <w:bCs/>
          <w:szCs w:val="21"/>
          <w:highlight w:val="none"/>
          <w:lang w:val="en-US" w:eastAsia="zh-CN"/>
        </w:rPr>
        <w:t>二</w:t>
      </w:r>
      <w:r>
        <w:rPr>
          <w:rFonts w:hint="eastAsia" w:ascii="宋体" w:hAnsi="宋体" w:cs="宋体"/>
          <w:b/>
          <w:bCs/>
          <w:szCs w:val="21"/>
          <w:highlight w:val="none"/>
        </w:rPr>
        <w:t>）通过资格性或符合性审查的</w:t>
      </w:r>
      <w:r>
        <w:rPr>
          <w:rFonts w:hint="eastAsia" w:ascii="宋体" w:hAnsi="宋体"/>
          <w:b/>
          <w:bCs/>
          <w:szCs w:val="21"/>
          <w:highlight w:val="none"/>
        </w:rPr>
        <w:t>有效</w:t>
      </w:r>
      <w:r>
        <w:rPr>
          <w:rFonts w:hint="eastAsia" w:ascii="宋体" w:hAnsi="宋体"/>
          <w:b/>
          <w:bCs/>
          <w:szCs w:val="21"/>
          <w:highlight w:val="none"/>
          <w:lang w:val="en-US" w:eastAsia="zh-CN"/>
        </w:rPr>
        <w:t>供应商</w:t>
      </w:r>
      <w:r>
        <w:rPr>
          <w:rFonts w:hint="eastAsia" w:ascii="宋体" w:hAnsi="宋体" w:cs="宋体"/>
          <w:b/>
          <w:bCs/>
          <w:szCs w:val="21"/>
          <w:highlight w:val="none"/>
        </w:rPr>
        <w:t>为一家</w:t>
      </w:r>
      <w:r>
        <w:rPr>
          <w:rFonts w:hint="eastAsia" w:ascii="宋体" w:hAnsi="宋体" w:cs="宋体"/>
          <w:b/>
          <w:bCs/>
          <w:szCs w:val="21"/>
          <w:highlight w:val="none"/>
          <w:lang w:val="en-US" w:eastAsia="zh-CN"/>
        </w:rPr>
        <w:t>或两家的</w:t>
      </w:r>
      <w:r>
        <w:rPr>
          <w:rFonts w:hint="eastAsia" w:ascii="宋体" w:hAnsi="宋体" w:cs="宋体"/>
          <w:b/>
          <w:bCs/>
          <w:szCs w:val="21"/>
          <w:highlight w:val="none"/>
        </w:rPr>
        <w:t>，本项目以单一来源方式完成采购。</w:t>
      </w:r>
      <w:bookmarkEnd w:id="2024"/>
      <w:bookmarkEnd w:id="2025"/>
    </w:p>
    <w:p>
      <w:pPr>
        <w:widowControl w:val="0"/>
        <w:numPr>
          <w:ilvl w:val="0"/>
          <w:numId w:val="0"/>
        </w:numPr>
        <w:spacing w:line="360" w:lineRule="auto"/>
        <w:ind w:firstLine="422" w:firstLineChars="200"/>
        <w:outlineLvl w:val="1"/>
        <w:rPr>
          <w:rFonts w:hint="eastAsia" w:ascii="宋体" w:hAnsi="宋体" w:cs="宋体"/>
          <w:b/>
          <w:bCs/>
          <w:szCs w:val="21"/>
          <w:highlight w:val="none"/>
          <w:lang w:val="en-US" w:eastAsia="zh-CN"/>
        </w:rPr>
      </w:pPr>
      <w:bookmarkStart w:id="2026" w:name="_Toc7925"/>
      <w:bookmarkStart w:id="2027" w:name="_Toc24828"/>
      <w:r>
        <w:rPr>
          <w:rFonts w:hint="eastAsia" w:ascii="宋体" w:hAnsi="宋体" w:cs="宋体"/>
          <w:b/>
          <w:bCs/>
          <w:szCs w:val="21"/>
          <w:highlight w:val="none"/>
          <w:lang w:eastAsia="zh-CN"/>
        </w:rPr>
        <w:t>（</w:t>
      </w:r>
      <w:r>
        <w:rPr>
          <w:rFonts w:hint="eastAsia" w:ascii="宋体" w:hAnsi="宋体" w:cs="宋体"/>
          <w:b/>
          <w:bCs/>
          <w:szCs w:val="21"/>
          <w:highlight w:val="none"/>
          <w:lang w:val="en-US" w:eastAsia="zh-CN"/>
        </w:rPr>
        <w:t>三</w:t>
      </w:r>
      <w:r>
        <w:rPr>
          <w:rFonts w:hint="eastAsia" w:ascii="宋体" w:hAnsi="宋体" w:cs="宋体"/>
          <w:b/>
          <w:bCs/>
          <w:szCs w:val="21"/>
          <w:highlight w:val="none"/>
          <w:lang w:eastAsia="zh-CN"/>
        </w:rPr>
        <w:t>）无</w:t>
      </w:r>
      <w:r>
        <w:rPr>
          <w:rFonts w:hint="eastAsia" w:ascii="宋体" w:hAnsi="宋体" w:cs="宋体"/>
          <w:b/>
          <w:bCs/>
          <w:szCs w:val="21"/>
          <w:highlight w:val="none"/>
          <w:lang w:val="en-US" w:eastAsia="zh-CN"/>
        </w:rPr>
        <w:t>供应商</w:t>
      </w:r>
      <w:r>
        <w:rPr>
          <w:rFonts w:hint="eastAsia" w:ascii="宋体" w:hAnsi="宋体" w:cs="宋体"/>
          <w:b/>
          <w:bCs/>
          <w:szCs w:val="21"/>
          <w:highlight w:val="none"/>
          <w:lang w:eastAsia="zh-CN"/>
        </w:rPr>
        <w:t>报名</w:t>
      </w:r>
      <w:r>
        <w:rPr>
          <w:rFonts w:hint="eastAsia" w:ascii="宋体" w:hAnsi="宋体" w:cs="宋体"/>
          <w:b/>
          <w:bCs/>
          <w:szCs w:val="21"/>
          <w:highlight w:val="none"/>
          <w:lang w:val="en-US" w:eastAsia="zh-CN"/>
        </w:rPr>
        <w:t>的</w:t>
      </w:r>
      <w:r>
        <w:rPr>
          <w:rFonts w:hint="eastAsia" w:ascii="宋体" w:hAnsi="宋体" w:cs="宋体"/>
          <w:b/>
          <w:bCs/>
          <w:szCs w:val="21"/>
          <w:highlight w:val="none"/>
          <w:lang w:eastAsia="zh-CN"/>
        </w:rPr>
        <w:t>、</w:t>
      </w:r>
      <w:r>
        <w:rPr>
          <w:rFonts w:hint="eastAsia" w:ascii="宋体" w:hAnsi="宋体" w:cs="宋体"/>
          <w:b/>
          <w:bCs/>
          <w:szCs w:val="21"/>
          <w:highlight w:val="none"/>
          <w:lang w:val="en-US" w:eastAsia="zh-CN"/>
        </w:rPr>
        <w:t>或</w:t>
      </w:r>
      <w:r>
        <w:rPr>
          <w:rFonts w:hint="eastAsia" w:ascii="宋体" w:hAnsi="宋体" w:cs="宋体"/>
          <w:b/>
          <w:bCs/>
          <w:szCs w:val="21"/>
          <w:highlight w:val="none"/>
          <w:lang w:eastAsia="zh-CN"/>
        </w:rPr>
        <w:t>至响应文件递交截至时间止无</w:t>
      </w:r>
      <w:r>
        <w:rPr>
          <w:rFonts w:hint="eastAsia" w:ascii="宋体" w:hAnsi="宋体" w:cs="宋体"/>
          <w:b/>
          <w:bCs/>
          <w:szCs w:val="21"/>
          <w:highlight w:val="none"/>
          <w:lang w:val="en-US" w:eastAsia="zh-CN"/>
        </w:rPr>
        <w:t>供应商</w:t>
      </w:r>
      <w:r>
        <w:rPr>
          <w:rFonts w:hint="eastAsia" w:ascii="宋体" w:hAnsi="宋体" w:cs="宋体"/>
          <w:b/>
          <w:bCs/>
          <w:szCs w:val="21"/>
          <w:highlight w:val="none"/>
          <w:lang w:eastAsia="zh-CN"/>
        </w:rPr>
        <w:t>递交</w:t>
      </w:r>
      <w:r>
        <w:rPr>
          <w:rFonts w:hint="eastAsia" w:ascii="宋体" w:hAnsi="宋体" w:cs="宋体"/>
          <w:b/>
          <w:bCs/>
          <w:szCs w:val="21"/>
          <w:highlight w:val="none"/>
          <w:lang w:val="en-US" w:eastAsia="zh-CN"/>
        </w:rPr>
        <w:t>响应</w:t>
      </w:r>
      <w:r>
        <w:rPr>
          <w:rFonts w:hint="eastAsia" w:ascii="宋体" w:hAnsi="宋体" w:cs="宋体"/>
          <w:b/>
          <w:bCs/>
          <w:szCs w:val="21"/>
          <w:highlight w:val="none"/>
          <w:lang w:eastAsia="zh-CN"/>
        </w:rPr>
        <w:t>文件的、</w:t>
      </w:r>
      <w:r>
        <w:rPr>
          <w:rFonts w:hint="eastAsia" w:ascii="宋体" w:hAnsi="宋体" w:cs="宋体"/>
          <w:b/>
          <w:bCs/>
          <w:szCs w:val="21"/>
          <w:highlight w:val="none"/>
          <w:lang w:val="en-US" w:eastAsia="zh-CN"/>
        </w:rPr>
        <w:t>或无供应商</w:t>
      </w:r>
      <w:r>
        <w:rPr>
          <w:rFonts w:hint="eastAsia" w:ascii="宋体" w:hAnsi="宋体" w:cs="宋体"/>
          <w:b/>
          <w:bCs/>
          <w:szCs w:val="21"/>
          <w:highlight w:val="none"/>
        </w:rPr>
        <w:t>通过资格性或符合性审查的</w:t>
      </w:r>
      <w:r>
        <w:rPr>
          <w:rFonts w:hint="eastAsia" w:ascii="宋体" w:hAnsi="宋体" w:cs="宋体"/>
          <w:b/>
          <w:bCs/>
          <w:szCs w:val="21"/>
          <w:highlight w:val="none"/>
          <w:lang w:eastAsia="zh-CN"/>
        </w:rPr>
        <w:t>，</w:t>
      </w:r>
      <w:r>
        <w:rPr>
          <w:rFonts w:hint="eastAsia" w:ascii="宋体" w:hAnsi="宋体" w:cs="宋体"/>
          <w:b/>
          <w:bCs/>
          <w:szCs w:val="21"/>
          <w:highlight w:val="none"/>
          <w:lang w:val="en-US" w:eastAsia="zh-CN"/>
        </w:rPr>
        <w:t>本项目采购失败。</w:t>
      </w:r>
      <w:bookmarkEnd w:id="2026"/>
      <w:bookmarkEnd w:id="2027"/>
    </w:p>
    <w:p>
      <w:pPr>
        <w:widowControl w:val="0"/>
        <w:numPr>
          <w:ilvl w:val="0"/>
          <w:numId w:val="0"/>
        </w:numPr>
        <w:spacing w:line="360" w:lineRule="auto"/>
        <w:ind w:firstLine="422" w:firstLineChars="200"/>
        <w:outlineLvl w:val="1"/>
        <w:rPr>
          <w:rFonts w:hint="default" w:ascii="宋体" w:hAnsi="宋体" w:cs="宋体"/>
          <w:b/>
          <w:bCs/>
          <w:szCs w:val="21"/>
          <w:highlight w:val="none"/>
          <w:lang w:val="en-US" w:eastAsia="zh-CN"/>
        </w:rPr>
      </w:pPr>
      <w:bookmarkStart w:id="2028" w:name="_Toc17982"/>
      <w:bookmarkStart w:id="2029" w:name="_Toc28771"/>
      <w:r>
        <w:rPr>
          <w:rFonts w:hint="default" w:ascii="宋体" w:hAnsi="宋体" w:cs="宋体"/>
          <w:b/>
          <w:bCs/>
          <w:szCs w:val="21"/>
          <w:highlight w:val="none"/>
          <w:lang w:val="en-US" w:eastAsia="zh-CN"/>
        </w:rPr>
        <w:t>（</w:t>
      </w:r>
      <w:r>
        <w:rPr>
          <w:rFonts w:hint="eastAsia" w:ascii="宋体" w:hAnsi="宋体" w:cs="宋体"/>
          <w:b/>
          <w:bCs/>
          <w:szCs w:val="21"/>
          <w:highlight w:val="none"/>
          <w:lang w:val="en-US" w:eastAsia="zh-CN"/>
        </w:rPr>
        <w:t>四</w:t>
      </w:r>
      <w:r>
        <w:rPr>
          <w:rFonts w:hint="default" w:ascii="宋体" w:hAnsi="宋体" w:cs="宋体"/>
          <w:b/>
          <w:bCs/>
          <w:szCs w:val="21"/>
          <w:highlight w:val="none"/>
          <w:lang w:val="en-US" w:eastAsia="zh-CN"/>
        </w:rPr>
        <w:t>）出现影响采购公正的违法、违规行为的，本项目采购失败。</w:t>
      </w:r>
      <w:bookmarkEnd w:id="2028"/>
      <w:bookmarkEnd w:id="2029"/>
    </w:p>
    <w:p>
      <w:pPr>
        <w:widowControl w:val="0"/>
        <w:numPr>
          <w:ilvl w:val="0"/>
          <w:numId w:val="0"/>
        </w:numPr>
        <w:spacing w:line="360" w:lineRule="auto"/>
        <w:outlineLvl w:val="1"/>
        <w:rPr>
          <w:rFonts w:ascii="宋体" w:hAnsi="宋体" w:cs="宋体"/>
          <w:b/>
          <w:bCs/>
          <w:szCs w:val="21"/>
          <w:highlight w:val="none"/>
        </w:rPr>
      </w:pPr>
    </w:p>
    <w:p>
      <w:pPr>
        <w:widowControl w:val="0"/>
        <w:numPr>
          <w:ilvl w:val="0"/>
          <w:numId w:val="0"/>
        </w:numPr>
        <w:spacing w:line="360" w:lineRule="auto"/>
        <w:outlineLvl w:val="1"/>
        <w:rPr>
          <w:rFonts w:hint="default" w:ascii="宋体" w:hAnsi="宋体" w:eastAsia="宋体" w:cs="宋体"/>
          <w:b/>
          <w:bCs/>
          <w:szCs w:val="21"/>
          <w:highlight w:val="none"/>
          <w:lang w:val="en-US" w:eastAsia="zh-CN"/>
        </w:rPr>
      </w:pPr>
      <w:bookmarkStart w:id="2030" w:name="_Toc9507"/>
      <w:bookmarkStart w:id="2031" w:name="_Toc7757"/>
      <w:r>
        <w:rPr>
          <w:rFonts w:hint="eastAsia" w:ascii="宋体" w:hAnsi="宋体" w:cs="宋体"/>
          <w:b/>
          <w:bCs/>
          <w:szCs w:val="21"/>
          <w:highlight w:val="none"/>
          <w:lang w:val="en-US" w:eastAsia="zh-CN"/>
        </w:rPr>
        <w:t>竞争性磋商方式：</w:t>
      </w:r>
      <w:bookmarkEnd w:id="2030"/>
      <w:bookmarkEnd w:id="2031"/>
    </w:p>
    <w:p>
      <w:pPr>
        <w:widowControl w:val="0"/>
        <w:numPr>
          <w:ilvl w:val="0"/>
          <w:numId w:val="5"/>
        </w:numPr>
        <w:spacing w:line="360" w:lineRule="auto"/>
        <w:ind w:left="567" w:hanging="27"/>
        <w:outlineLvl w:val="1"/>
        <w:rPr>
          <w:rFonts w:ascii="宋体" w:hAnsi="宋体" w:cs="宋体"/>
          <w:b/>
          <w:bCs/>
          <w:szCs w:val="21"/>
          <w:highlight w:val="none"/>
        </w:rPr>
      </w:pPr>
      <w:bookmarkStart w:id="2032" w:name="_Toc26960"/>
      <w:bookmarkStart w:id="2033" w:name="_Toc17142"/>
      <w:r>
        <w:rPr>
          <w:rFonts w:hint="eastAsia" w:ascii="宋体" w:hAnsi="宋体" w:cs="宋体"/>
          <w:b/>
          <w:bCs/>
          <w:szCs w:val="21"/>
          <w:highlight w:val="none"/>
        </w:rPr>
        <w:t>评审办法</w:t>
      </w:r>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32"/>
      <w:bookmarkEnd w:id="2033"/>
    </w:p>
    <w:p>
      <w:pPr>
        <w:numPr>
          <w:ilvl w:val="1"/>
          <w:numId w:val="6"/>
        </w:numPr>
        <w:spacing w:line="360" w:lineRule="auto"/>
        <w:ind w:left="0" w:firstLine="425"/>
        <w:rPr>
          <w:rFonts w:ascii="宋体" w:hAnsi="宋体" w:cs="宋体"/>
          <w:szCs w:val="21"/>
          <w:highlight w:val="none"/>
        </w:rPr>
      </w:pPr>
      <w:r>
        <w:rPr>
          <w:rFonts w:hint="eastAsia" w:ascii="宋体" w:hAnsi="宋体" w:cs="宋体"/>
          <w:szCs w:val="21"/>
          <w:highlight w:val="none"/>
        </w:rPr>
        <w:t>评审方法采用综合评分法。</w:t>
      </w:r>
    </w:p>
    <w:p>
      <w:pPr>
        <w:spacing w:line="360" w:lineRule="auto"/>
        <w:rPr>
          <w:rFonts w:ascii="宋体" w:hAnsi="宋体" w:cs="宋体"/>
          <w:szCs w:val="21"/>
          <w:highlight w:val="none"/>
        </w:rPr>
      </w:pPr>
    </w:p>
    <w:p>
      <w:pPr>
        <w:widowControl w:val="0"/>
        <w:numPr>
          <w:ilvl w:val="0"/>
          <w:numId w:val="5"/>
        </w:numPr>
        <w:spacing w:line="360" w:lineRule="auto"/>
        <w:ind w:left="567" w:hanging="27"/>
        <w:outlineLvl w:val="1"/>
        <w:rPr>
          <w:rFonts w:ascii="宋体" w:hAnsi="宋体" w:cs="宋体"/>
          <w:b/>
          <w:szCs w:val="21"/>
          <w:highlight w:val="none"/>
        </w:rPr>
      </w:pPr>
      <w:bookmarkStart w:id="2034" w:name="_Toc32076"/>
      <w:bookmarkStart w:id="2035" w:name="_Toc24699"/>
      <w:bookmarkStart w:id="2036" w:name="_Toc497225724"/>
      <w:bookmarkStart w:id="2037" w:name="_Toc532567234"/>
      <w:bookmarkStart w:id="2038" w:name="_Toc17571"/>
      <w:bookmarkStart w:id="2039" w:name="_Toc519164555"/>
      <w:bookmarkStart w:id="2040" w:name="_Toc519164409"/>
      <w:bookmarkStart w:id="2041" w:name="_Toc7476"/>
      <w:bookmarkStart w:id="2042" w:name="_Toc22866"/>
      <w:bookmarkStart w:id="2043" w:name="_Toc15091"/>
      <w:bookmarkStart w:id="2044" w:name="_Toc1356"/>
      <w:bookmarkStart w:id="2045" w:name="_Toc497687621"/>
      <w:bookmarkStart w:id="2046" w:name="_Toc10091"/>
      <w:bookmarkStart w:id="2047" w:name="_Toc502737321"/>
      <w:bookmarkStart w:id="2048" w:name="_Toc526766041"/>
      <w:bookmarkStart w:id="2049" w:name="_Toc6117"/>
      <w:bookmarkStart w:id="2050" w:name="_Toc18038"/>
      <w:r>
        <w:rPr>
          <w:rFonts w:hint="eastAsia" w:ascii="宋体" w:hAnsi="宋体" w:cs="宋体"/>
          <w:b/>
          <w:szCs w:val="21"/>
          <w:highlight w:val="none"/>
        </w:rPr>
        <w:t>磋商小组</w:t>
      </w:r>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p>
    <w:p>
      <w:pPr>
        <w:numPr>
          <w:ilvl w:val="1"/>
          <w:numId w:val="7"/>
        </w:numPr>
        <w:spacing w:line="360" w:lineRule="auto"/>
        <w:ind w:left="0" w:firstLine="425"/>
        <w:rPr>
          <w:rFonts w:ascii="宋体" w:hAnsi="宋体" w:cs="宋体"/>
          <w:b/>
          <w:bCs/>
          <w:szCs w:val="21"/>
          <w:highlight w:val="none"/>
        </w:rPr>
      </w:pPr>
      <w:r>
        <w:rPr>
          <w:rFonts w:hint="eastAsia" w:ascii="宋体" w:hAnsi="宋体" w:cs="宋体"/>
          <w:b/>
          <w:bCs/>
          <w:szCs w:val="21"/>
          <w:highlight w:val="none"/>
        </w:rPr>
        <w:t>组成</w:t>
      </w:r>
    </w:p>
    <w:p>
      <w:pPr>
        <w:numPr>
          <w:ilvl w:val="0"/>
          <w:numId w:val="8"/>
        </w:numPr>
        <w:tabs>
          <w:tab w:val="left" w:pos="0"/>
        </w:tabs>
        <w:spacing w:line="360" w:lineRule="auto"/>
        <w:ind w:left="0" w:firstLine="426"/>
        <w:jc w:val="both"/>
        <w:rPr>
          <w:rFonts w:ascii="宋体" w:hAnsi="宋体" w:cs="宋体"/>
          <w:szCs w:val="21"/>
          <w:highlight w:val="none"/>
        </w:rPr>
      </w:pPr>
      <w:r>
        <w:rPr>
          <w:rFonts w:hint="eastAsia" w:ascii="宋体" w:hAnsi="宋体" w:cs="宋体"/>
          <w:szCs w:val="21"/>
          <w:highlight w:val="none"/>
        </w:rPr>
        <w:t>本次采购依法组建磋商小组</w:t>
      </w:r>
    </w:p>
    <w:p>
      <w:pPr>
        <w:numPr>
          <w:ilvl w:val="0"/>
          <w:numId w:val="8"/>
        </w:numPr>
        <w:tabs>
          <w:tab w:val="left" w:pos="0"/>
          <w:tab w:val="left" w:pos="851"/>
          <w:tab w:val="clear" w:pos="840"/>
        </w:tabs>
        <w:spacing w:line="360" w:lineRule="auto"/>
        <w:ind w:left="0" w:firstLine="426"/>
        <w:jc w:val="both"/>
        <w:rPr>
          <w:rFonts w:ascii="宋体" w:hAnsi="宋体" w:cs="宋体"/>
          <w:szCs w:val="21"/>
          <w:highlight w:val="none"/>
        </w:rPr>
      </w:pPr>
      <w:r>
        <w:rPr>
          <w:rFonts w:hint="eastAsia" w:ascii="宋体" w:hAnsi="宋体" w:cs="宋体"/>
          <w:szCs w:val="21"/>
          <w:highlight w:val="none"/>
        </w:rPr>
        <w:t>磋商小组将按照磋商文件确定的评审方法进行评审。对磋商文件中描述有歧义或前后不一致的地方，磋商小组有权按法律法规的规定进行评判，但对同一条款的评判应适用于每个供应商</w:t>
      </w:r>
    </w:p>
    <w:p>
      <w:pPr>
        <w:numPr>
          <w:ilvl w:val="1"/>
          <w:numId w:val="7"/>
        </w:numPr>
        <w:spacing w:line="360" w:lineRule="auto"/>
        <w:ind w:left="0" w:firstLine="425"/>
        <w:rPr>
          <w:rFonts w:ascii="宋体" w:hAnsi="宋体" w:cs="宋体"/>
          <w:b/>
          <w:bCs/>
          <w:szCs w:val="21"/>
          <w:highlight w:val="none"/>
        </w:rPr>
      </w:pPr>
      <w:r>
        <w:rPr>
          <w:rFonts w:hint="eastAsia" w:ascii="宋体" w:hAnsi="宋体" w:cs="宋体"/>
          <w:b/>
          <w:bCs/>
          <w:szCs w:val="21"/>
          <w:highlight w:val="none"/>
        </w:rPr>
        <w:t>职责</w:t>
      </w:r>
    </w:p>
    <w:p>
      <w:pPr>
        <w:pStyle w:val="19"/>
        <w:spacing w:line="360" w:lineRule="auto"/>
        <w:ind w:left="0" w:leftChars="0" w:firstLine="420" w:firstLineChars="200"/>
        <w:rPr>
          <w:rFonts w:ascii="宋体" w:hAnsi="宋体" w:cs="宋体"/>
          <w:szCs w:val="21"/>
          <w:highlight w:val="none"/>
        </w:rPr>
      </w:pPr>
      <w:r>
        <w:rPr>
          <w:rFonts w:hint="eastAsia" w:ascii="宋体" w:hAnsi="宋体" w:cs="宋体"/>
          <w:szCs w:val="21"/>
          <w:highlight w:val="none"/>
        </w:rPr>
        <w:t>磋商小组负责磋商和评审工作，对评审中的重大问题通过投票决定。任何人不得干预磋商小组的工作。磋商小组下设评审工作小组，主要由代理机构等相关单位工作人员组成，负责整理、记录等工作。</w:t>
      </w:r>
    </w:p>
    <w:p>
      <w:pPr>
        <w:spacing w:line="360" w:lineRule="auto"/>
        <w:rPr>
          <w:rFonts w:ascii="宋体" w:hAnsi="宋体" w:cs="宋体"/>
          <w:szCs w:val="21"/>
          <w:highlight w:val="none"/>
        </w:rPr>
      </w:pPr>
    </w:p>
    <w:p>
      <w:pPr>
        <w:widowControl w:val="0"/>
        <w:numPr>
          <w:ilvl w:val="0"/>
          <w:numId w:val="5"/>
        </w:numPr>
        <w:spacing w:line="360" w:lineRule="auto"/>
        <w:ind w:left="567" w:hanging="27"/>
        <w:outlineLvl w:val="1"/>
        <w:rPr>
          <w:rFonts w:ascii="宋体" w:hAnsi="宋体" w:cs="宋体"/>
          <w:b/>
          <w:bCs/>
          <w:szCs w:val="21"/>
          <w:highlight w:val="none"/>
        </w:rPr>
      </w:pPr>
      <w:bookmarkStart w:id="2051" w:name="_Toc15663"/>
      <w:bookmarkStart w:id="2052" w:name="_Toc2035"/>
      <w:bookmarkStart w:id="2053" w:name="_Toc23298"/>
      <w:bookmarkStart w:id="2054" w:name="_Toc14109"/>
      <w:bookmarkStart w:id="2055" w:name="_Toc5290"/>
      <w:bookmarkStart w:id="2056" w:name="_Toc20420"/>
      <w:bookmarkStart w:id="2057" w:name="_Toc17239"/>
      <w:bookmarkStart w:id="2058" w:name="_Toc444"/>
      <w:bookmarkStart w:id="2059" w:name="_Toc12669"/>
      <w:r>
        <w:rPr>
          <w:rFonts w:hint="eastAsia" w:ascii="宋体" w:hAnsi="宋体" w:cs="宋体"/>
          <w:b/>
          <w:bCs/>
          <w:szCs w:val="21"/>
          <w:highlight w:val="none"/>
        </w:rPr>
        <w:t>磋商程序</w:t>
      </w:r>
      <w:bookmarkEnd w:id="2051"/>
      <w:bookmarkEnd w:id="2052"/>
      <w:bookmarkEnd w:id="2053"/>
      <w:bookmarkEnd w:id="2054"/>
      <w:bookmarkEnd w:id="2055"/>
      <w:bookmarkEnd w:id="2056"/>
      <w:bookmarkEnd w:id="2057"/>
      <w:bookmarkEnd w:id="2058"/>
      <w:bookmarkEnd w:id="2059"/>
    </w:p>
    <w:bookmarkEnd w:id="2010"/>
    <w:bookmarkEnd w:id="2011"/>
    <w:bookmarkEnd w:id="2012"/>
    <w:bookmarkEnd w:id="2013"/>
    <w:bookmarkEnd w:id="2014"/>
    <w:bookmarkEnd w:id="2015"/>
    <w:bookmarkEnd w:id="2016"/>
    <w:bookmarkEnd w:id="2017"/>
    <w:bookmarkEnd w:id="2018"/>
    <w:bookmarkEnd w:id="2019"/>
    <w:bookmarkEnd w:id="2020"/>
    <w:bookmarkEnd w:id="2021"/>
    <w:p>
      <w:pPr>
        <w:numPr>
          <w:ilvl w:val="1"/>
          <w:numId w:val="9"/>
        </w:numPr>
        <w:spacing w:line="360" w:lineRule="auto"/>
        <w:rPr>
          <w:rFonts w:ascii="宋体" w:hAnsi="宋体" w:cs="宋体"/>
          <w:b/>
          <w:szCs w:val="21"/>
          <w:highlight w:val="none"/>
        </w:rPr>
      </w:pPr>
      <w:r>
        <w:rPr>
          <w:rFonts w:hint="eastAsia" w:ascii="宋体" w:hAnsi="宋体" w:cs="宋体"/>
          <w:b/>
          <w:szCs w:val="21"/>
          <w:highlight w:val="none"/>
        </w:rPr>
        <w:t>响应文件资格性审查</w:t>
      </w:r>
    </w:p>
    <w:p>
      <w:pPr>
        <w:numPr>
          <w:ilvl w:val="0"/>
          <w:numId w:val="10"/>
        </w:numPr>
        <w:tabs>
          <w:tab w:val="left" w:pos="720"/>
          <w:tab w:val="left" w:pos="1080"/>
        </w:tabs>
        <w:spacing w:line="360" w:lineRule="auto"/>
        <w:ind w:left="0" w:firstLine="420"/>
        <w:jc w:val="both"/>
        <w:rPr>
          <w:rFonts w:ascii="宋体" w:hAnsi="宋体" w:cs="宋体"/>
          <w:szCs w:val="21"/>
          <w:highlight w:val="none"/>
        </w:rPr>
      </w:pPr>
      <w:r>
        <w:rPr>
          <w:rFonts w:hint="eastAsia" w:ascii="宋体" w:hAnsi="宋体" w:cs="宋体"/>
          <w:szCs w:val="21"/>
          <w:highlight w:val="none"/>
        </w:rPr>
        <w:t>磋商小组将根据《资格性审查表》（附表一），对各响应文件进行资格性审查。</w:t>
      </w:r>
    </w:p>
    <w:p>
      <w:pPr>
        <w:numPr>
          <w:ilvl w:val="0"/>
          <w:numId w:val="10"/>
        </w:numPr>
        <w:tabs>
          <w:tab w:val="left" w:pos="720"/>
          <w:tab w:val="left" w:pos="1080"/>
        </w:tabs>
        <w:spacing w:line="360" w:lineRule="auto"/>
        <w:ind w:left="0" w:firstLine="420"/>
        <w:jc w:val="both"/>
        <w:rPr>
          <w:rFonts w:ascii="宋体" w:hAnsi="宋体" w:cs="宋体"/>
          <w:szCs w:val="21"/>
          <w:highlight w:val="none"/>
        </w:rPr>
      </w:pPr>
      <w:r>
        <w:rPr>
          <w:rFonts w:hint="eastAsia" w:ascii="宋体" w:hAnsi="宋体" w:cs="宋体"/>
          <w:szCs w:val="21"/>
          <w:highlight w:val="none"/>
        </w:rPr>
        <w:t>只有全部满足《资格性审查表》所列各项要求的投标才是有效投标，只要不满足所列各项要求之一的，将被认定为无效投标。无效投标不能进入服务商务磋商。</w:t>
      </w:r>
    </w:p>
    <w:p>
      <w:pPr>
        <w:spacing w:line="360" w:lineRule="auto"/>
        <w:ind w:left="992"/>
        <w:rPr>
          <w:rFonts w:ascii="宋体" w:hAnsi="宋体" w:cs="宋体"/>
          <w:b/>
          <w:szCs w:val="21"/>
          <w:highlight w:val="none"/>
        </w:rPr>
      </w:pPr>
    </w:p>
    <w:p>
      <w:pPr>
        <w:numPr>
          <w:ilvl w:val="1"/>
          <w:numId w:val="9"/>
        </w:numPr>
        <w:spacing w:line="360" w:lineRule="auto"/>
        <w:rPr>
          <w:rFonts w:ascii="宋体" w:hAnsi="宋体" w:cs="宋体"/>
          <w:b/>
          <w:szCs w:val="21"/>
          <w:highlight w:val="none"/>
        </w:rPr>
      </w:pPr>
      <w:r>
        <w:rPr>
          <w:rFonts w:hint="eastAsia" w:ascii="宋体" w:hAnsi="宋体" w:cs="宋体"/>
          <w:b/>
          <w:szCs w:val="21"/>
          <w:highlight w:val="none"/>
        </w:rPr>
        <w:t>服务商务磋商</w:t>
      </w:r>
    </w:p>
    <w:p>
      <w:pPr>
        <w:numPr>
          <w:ilvl w:val="0"/>
          <w:numId w:val="11"/>
        </w:numPr>
        <w:tabs>
          <w:tab w:val="left" w:pos="720"/>
          <w:tab w:val="left" w:pos="1080"/>
        </w:tabs>
        <w:spacing w:line="360" w:lineRule="auto"/>
        <w:ind w:left="0" w:firstLine="420"/>
        <w:jc w:val="both"/>
        <w:rPr>
          <w:rFonts w:ascii="宋体" w:hAnsi="宋体" w:cs="宋体"/>
          <w:szCs w:val="21"/>
          <w:highlight w:val="none"/>
        </w:rPr>
      </w:pPr>
      <w:r>
        <w:rPr>
          <w:rFonts w:hint="eastAsia" w:ascii="宋体" w:hAnsi="宋体" w:cs="宋体"/>
          <w:szCs w:val="21"/>
          <w:highlight w:val="none"/>
        </w:rPr>
        <w:t>磋商小组邀请在规定时间内递交响应文件的供应商参加磋商，以递交响应文件的先后顺序对供应商进行磋商排序。</w:t>
      </w:r>
    </w:p>
    <w:p>
      <w:pPr>
        <w:numPr>
          <w:ilvl w:val="0"/>
          <w:numId w:val="11"/>
        </w:numPr>
        <w:tabs>
          <w:tab w:val="left" w:pos="720"/>
          <w:tab w:val="left" w:pos="1080"/>
        </w:tabs>
        <w:spacing w:line="360" w:lineRule="auto"/>
        <w:ind w:left="0" w:firstLine="420"/>
        <w:jc w:val="both"/>
        <w:rPr>
          <w:rFonts w:ascii="宋体" w:hAnsi="宋体" w:cs="宋体"/>
          <w:szCs w:val="21"/>
          <w:highlight w:val="none"/>
        </w:rPr>
      </w:pPr>
      <w:r>
        <w:rPr>
          <w:rFonts w:hint="eastAsia" w:ascii="宋体" w:hAnsi="宋体" w:cs="宋体"/>
          <w:szCs w:val="21"/>
          <w:highlight w:val="none"/>
        </w:rPr>
        <w:t>磋商小组与供应商应围绕商务、服务要求、合同草案条款等内容分别进行一轮或多轮的磋商。在磋商过程中，磋商小组应当严格遵循保密原则，未经供应商同意不得向任何人透露当事人商务、服务和其他重要信息。</w:t>
      </w:r>
    </w:p>
    <w:p>
      <w:pPr>
        <w:numPr>
          <w:ilvl w:val="0"/>
          <w:numId w:val="11"/>
        </w:numPr>
        <w:tabs>
          <w:tab w:val="left" w:pos="720"/>
          <w:tab w:val="left" w:pos="1080"/>
        </w:tabs>
        <w:spacing w:line="360" w:lineRule="auto"/>
        <w:ind w:left="0" w:firstLine="420"/>
        <w:jc w:val="both"/>
        <w:rPr>
          <w:rFonts w:ascii="宋体" w:hAnsi="宋体" w:cs="宋体"/>
          <w:szCs w:val="21"/>
          <w:highlight w:val="none"/>
        </w:rPr>
      </w:pPr>
      <w:r>
        <w:rPr>
          <w:rFonts w:hint="eastAsia" w:ascii="宋体" w:hAnsi="宋体" w:cs="宋体"/>
          <w:szCs w:val="21"/>
          <w:highlight w:val="none"/>
        </w:rPr>
        <w:t>磋商文件的修正：磋商小组调整或修改采购需求内容时，应取得磋商小组的一致同意，并以书面形式通知所有参加磋商的供应商。但任何形式的决定须以符合公平、公正原则和有利于项目的顺利实施为前提。</w:t>
      </w:r>
    </w:p>
    <w:p>
      <w:pPr>
        <w:spacing w:line="360" w:lineRule="auto"/>
        <w:ind w:left="425"/>
        <w:rPr>
          <w:rFonts w:ascii="宋体" w:hAnsi="宋体" w:cs="宋体"/>
          <w:b/>
          <w:szCs w:val="21"/>
          <w:highlight w:val="none"/>
        </w:rPr>
      </w:pPr>
    </w:p>
    <w:p>
      <w:pPr>
        <w:numPr>
          <w:ilvl w:val="1"/>
          <w:numId w:val="9"/>
        </w:numPr>
        <w:spacing w:line="360" w:lineRule="auto"/>
        <w:rPr>
          <w:rFonts w:ascii="宋体" w:hAnsi="宋体" w:cs="宋体"/>
          <w:b/>
          <w:szCs w:val="21"/>
          <w:highlight w:val="none"/>
        </w:rPr>
      </w:pPr>
      <w:r>
        <w:rPr>
          <w:rFonts w:hint="eastAsia" w:ascii="宋体" w:hAnsi="宋体" w:cs="宋体"/>
          <w:b/>
          <w:szCs w:val="21"/>
          <w:highlight w:val="none"/>
        </w:rPr>
        <w:t>响应文件符合性审查</w:t>
      </w:r>
    </w:p>
    <w:p>
      <w:pPr>
        <w:numPr>
          <w:ilvl w:val="0"/>
          <w:numId w:val="12"/>
        </w:numPr>
        <w:tabs>
          <w:tab w:val="left" w:pos="720"/>
          <w:tab w:val="left" w:pos="1080"/>
        </w:tabs>
        <w:spacing w:line="360" w:lineRule="auto"/>
        <w:jc w:val="both"/>
        <w:rPr>
          <w:rFonts w:ascii="宋体" w:hAnsi="宋体" w:cs="宋体"/>
          <w:szCs w:val="21"/>
          <w:highlight w:val="none"/>
        </w:rPr>
      </w:pPr>
      <w:r>
        <w:rPr>
          <w:rFonts w:hint="eastAsia" w:ascii="宋体" w:hAnsi="宋体" w:cs="宋体"/>
          <w:szCs w:val="21"/>
          <w:highlight w:val="none"/>
        </w:rPr>
        <w:t>磋商小组将根据《符合性审查表》（附表二），对各响应文件进行符合性审查。</w:t>
      </w:r>
    </w:p>
    <w:p>
      <w:pPr>
        <w:numPr>
          <w:ilvl w:val="0"/>
          <w:numId w:val="12"/>
        </w:numPr>
        <w:tabs>
          <w:tab w:val="left" w:pos="0"/>
          <w:tab w:val="left" w:pos="720"/>
          <w:tab w:val="left" w:pos="1080"/>
          <w:tab w:val="clear" w:pos="840"/>
        </w:tabs>
        <w:spacing w:line="360" w:lineRule="auto"/>
        <w:ind w:left="0" w:firstLine="420"/>
        <w:jc w:val="both"/>
        <w:rPr>
          <w:rFonts w:ascii="宋体" w:hAnsi="宋体" w:cs="宋体"/>
          <w:szCs w:val="21"/>
          <w:highlight w:val="none"/>
        </w:rPr>
      </w:pPr>
      <w:r>
        <w:rPr>
          <w:rFonts w:hint="eastAsia" w:ascii="宋体" w:hAnsi="宋体" w:cs="宋体"/>
          <w:szCs w:val="21"/>
          <w:highlight w:val="none"/>
        </w:rPr>
        <w:t>磋商小组进行符合性审查时发现供应商有实质性不响应磋商文件的，由采购代理机构工作人员现场告知该供应商并说明理由。</w:t>
      </w:r>
    </w:p>
    <w:p>
      <w:pPr>
        <w:numPr>
          <w:ilvl w:val="0"/>
          <w:numId w:val="12"/>
        </w:numPr>
        <w:tabs>
          <w:tab w:val="left" w:pos="0"/>
          <w:tab w:val="left" w:pos="720"/>
          <w:tab w:val="left" w:pos="1080"/>
          <w:tab w:val="clear" w:pos="840"/>
        </w:tabs>
        <w:spacing w:line="360" w:lineRule="auto"/>
        <w:ind w:left="0" w:firstLine="420"/>
        <w:jc w:val="both"/>
        <w:rPr>
          <w:rFonts w:ascii="宋体" w:hAnsi="宋体" w:cs="宋体"/>
          <w:szCs w:val="21"/>
          <w:highlight w:val="none"/>
        </w:rPr>
      </w:pPr>
      <w:r>
        <w:rPr>
          <w:rFonts w:hint="eastAsia" w:ascii="宋体" w:hAnsi="宋体" w:cs="宋体"/>
          <w:szCs w:val="21"/>
          <w:highlight w:val="none"/>
        </w:rPr>
        <w:t>在磋商过程中，供应商提交的澄清文件和最终竞争性磋商响应文件，由供应商法定代表人或授权代表签署后生效，供应商应受其约束。因此，该签字人参加磋商时需出示有效的身份证明文件，否则，其签字的澄清文件和最终竞争性磋商响应文件无效。</w:t>
      </w:r>
    </w:p>
    <w:p>
      <w:pPr>
        <w:numPr>
          <w:ilvl w:val="0"/>
          <w:numId w:val="12"/>
        </w:numPr>
        <w:tabs>
          <w:tab w:val="left" w:pos="0"/>
          <w:tab w:val="left" w:pos="720"/>
          <w:tab w:val="left" w:pos="1080"/>
          <w:tab w:val="clear" w:pos="840"/>
        </w:tabs>
        <w:spacing w:line="360" w:lineRule="auto"/>
        <w:ind w:left="0" w:firstLine="420"/>
        <w:jc w:val="both"/>
        <w:rPr>
          <w:rFonts w:ascii="宋体" w:hAnsi="宋体" w:cs="宋体"/>
          <w:szCs w:val="21"/>
          <w:highlight w:val="none"/>
        </w:rPr>
      </w:pPr>
      <w:r>
        <w:rPr>
          <w:rFonts w:hint="eastAsia" w:ascii="宋体" w:hAnsi="宋体" w:cs="宋体"/>
          <w:szCs w:val="21"/>
          <w:highlight w:val="none"/>
        </w:rPr>
        <w:t>被磋商小组确定为响应文件无效的，其响应文件即被视为不能通过符合性审查，不参与服务、商务的评审。</w:t>
      </w:r>
    </w:p>
    <w:p>
      <w:pPr>
        <w:numPr>
          <w:ilvl w:val="0"/>
          <w:numId w:val="12"/>
        </w:numPr>
        <w:tabs>
          <w:tab w:val="left" w:pos="0"/>
          <w:tab w:val="left" w:pos="720"/>
          <w:tab w:val="left" w:pos="1080"/>
          <w:tab w:val="clear" w:pos="840"/>
        </w:tabs>
        <w:spacing w:line="360" w:lineRule="auto"/>
        <w:ind w:left="0" w:firstLine="420"/>
        <w:jc w:val="both"/>
        <w:rPr>
          <w:rFonts w:ascii="宋体" w:hAnsi="宋体" w:cs="宋体"/>
          <w:szCs w:val="21"/>
          <w:highlight w:val="none"/>
        </w:rPr>
      </w:pPr>
      <w:r>
        <w:rPr>
          <w:rFonts w:hint="eastAsia" w:ascii="宋体" w:hAnsi="宋体" w:cs="宋体"/>
          <w:szCs w:val="21"/>
          <w:highlight w:val="none"/>
        </w:rPr>
        <w:t>最终承诺：所有作出实质性响应的有效供应商在规定的时间内集中密封提交最终承诺（最终承诺时间视磋商进程由磋商小组决定）。</w:t>
      </w:r>
    </w:p>
    <w:p>
      <w:pPr>
        <w:pStyle w:val="4"/>
        <w:rPr>
          <w:rFonts w:ascii="宋体" w:hAnsi="宋体" w:cs="宋体"/>
          <w:szCs w:val="21"/>
          <w:highlight w:val="none"/>
        </w:rPr>
      </w:pPr>
    </w:p>
    <w:p>
      <w:pPr>
        <w:numPr>
          <w:ilvl w:val="1"/>
          <w:numId w:val="9"/>
        </w:numPr>
        <w:spacing w:line="360" w:lineRule="auto"/>
        <w:rPr>
          <w:rFonts w:ascii="宋体" w:hAnsi="宋体" w:cs="宋体"/>
          <w:b/>
          <w:szCs w:val="21"/>
          <w:highlight w:val="none"/>
        </w:rPr>
      </w:pPr>
      <w:r>
        <w:rPr>
          <w:rFonts w:hint="eastAsia" w:ascii="宋体" w:hAnsi="宋体" w:cs="宋体"/>
          <w:b/>
          <w:szCs w:val="21"/>
          <w:highlight w:val="none"/>
        </w:rPr>
        <w:t>响应文件的澄清</w:t>
      </w:r>
    </w:p>
    <w:p>
      <w:pPr>
        <w:numPr>
          <w:ilvl w:val="0"/>
          <w:numId w:val="13"/>
        </w:numPr>
        <w:tabs>
          <w:tab w:val="left" w:pos="0"/>
          <w:tab w:val="left" w:pos="720"/>
          <w:tab w:val="left" w:pos="1080"/>
          <w:tab w:val="clear" w:pos="840"/>
        </w:tabs>
        <w:spacing w:line="360" w:lineRule="auto"/>
        <w:ind w:left="0" w:firstLine="420"/>
        <w:jc w:val="both"/>
        <w:rPr>
          <w:rFonts w:ascii="宋体" w:hAnsi="宋体" w:cs="宋体"/>
          <w:szCs w:val="21"/>
          <w:highlight w:val="none"/>
        </w:rPr>
      </w:pPr>
      <w:r>
        <w:rPr>
          <w:rFonts w:hint="eastAsia" w:ascii="宋体" w:hAnsi="宋体" w:cs="宋体"/>
          <w:szCs w:val="21"/>
          <w:highlight w:val="none"/>
        </w:rPr>
        <w:t>对响应文件中含义不明确、同类问题表述不一致或者有明显文字和计算错误的内容，磋商小组可以书面形式要求供应商作出必要的澄清、说明或者纠正。</w:t>
      </w:r>
    </w:p>
    <w:p>
      <w:pPr>
        <w:numPr>
          <w:ilvl w:val="0"/>
          <w:numId w:val="13"/>
        </w:numPr>
        <w:tabs>
          <w:tab w:val="left" w:pos="0"/>
          <w:tab w:val="left" w:pos="720"/>
          <w:tab w:val="left" w:pos="1080"/>
          <w:tab w:val="clear" w:pos="840"/>
        </w:tabs>
        <w:spacing w:line="360" w:lineRule="auto"/>
        <w:ind w:left="0" w:firstLine="420"/>
        <w:jc w:val="both"/>
        <w:rPr>
          <w:rFonts w:ascii="宋体" w:hAnsi="宋体" w:cs="宋体"/>
          <w:szCs w:val="21"/>
          <w:highlight w:val="none"/>
        </w:rPr>
      </w:pPr>
      <w:r>
        <w:rPr>
          <w:rFonts w:hint="eastAsia" w:ascii="宋体" w:hAnsi="宋体" w:cs="宋体"/>
          <w:szCs w:val="21"/>
          <w:highlight w:val="none"/>
        </w:rPr>
        <w:t>供应商的澄清、说明或者补正应当采用书面形式，由其授权的代表签字，并不得超出响应文件的范围或者改变响应文件的实质性内容。</w:t>
      </w:r>
    </w:p>
    <w:p>
      <w:pPr>
        <w:pStyle w:val="4"/>
        <w:rPr>
          <w:rFonts w:ascii="宋体" w:hAnsi="宋体" w:cs="宋体"/>
          <w:szCs w:val="21"/>
          <w:highlight w:val="none"/>
        </w:rPr>
      </w:pPr>
    </w:p>
    <w:p>
      <w:pPr>
        <w:widowControl w:val="0"/>
        <w:numPr>
          <w:ilvl w:val="0"/>
          <w:numId w:val="5"/>
        </w:numPr>
        <w:spacing w:line="360" w:lineRule="auto"/>
        <w:ind w:left="567" w:hanging="27"/>
        <w:outlineLvl w:val="1"/>
        <w:rPr>
          <w:rFonts w:ascii="宋体" w:hAnsi="宋体" w:cs="宋体"/>
          <w:b/>
          <w:bCs/>
          <w:szCs w:val="21"/>
          <w:highlight w:val="none"/>
        </w:rPr>
      </w:pPr>
      <w:bookmarkStart w:id="2060" w:name="_Toc1930"/>
      <w:bookmarkStart w:id="2061" w:name="_Toc19592"/>
      <w:bookmarkStart w:id="2062" w:name="_Toc12874"/>
      <w:bookmarkStart w:id="2063" w:name="_Toc27754"/>
      <w:bookmarkStart w:id="2064" w:name="_Toc11735"/>
      <w:bookmarkStart w:id="2065" w:name="_Toc31838"/>
      <w:bookmarkStart w:id="2066" w:name="_Toc12363"/>
      <w:bookmarkStart w:id="2067" w:name="_Toc13864"/>
      <w:bookmarkStart w:id="2068" w:name="_Toc10883"/>
      <w:r>
        <w:rPr>
          <w:rFonts w:hint="eastAsia" w:ascii="宋体" w:hAnsi="宋体" w:cs="宋体"/>
          <w:b/>
          <w:bCs/>
          <w:szCs w:val="21"/>
          <w:highlight w:val="none"/>
        </w:rPr>
        <w:t>综合评审</w:t>
      </w:r>
      <w:bookmarkEnd w:id="2060"/>
      <w:bookmarkEnd w:id="2061"/>
      <w:bookmarkEnd w:id="2062"/>
      <w:bookmarkEnd w:id="2063"/>
      <w:bookmarkEnd w:id="2064"/>
      <w:bookmarkEnd w:id="2065"/>
      <w:bookmarkEnd w:id="2066"/>
      <w:bookmarkEnd w:id="2067"/>
      <w:bookmarkEnd w:id="2068"/>
    </w:p>
    <w:p>
      <w:pPr>
        <w:widowControl w:val="0"/>
        <w:spacing w:line="360" w:lineRule="auto"/>
        <w:ind w:firstLine="420" w:firstLineChars="200"/>
        <w:outlineLvl w:val="1"/>
        <w:rPr>
          <w:rFonts w:ascii="宋体" w:hAnsi="宋体" w:cs="宋体"/>
          <w:szCs w:val="21"/>
          <w:highlight w:val="none"/>
        </w:rPr>
      </w:pPr>
      <w:bookmarkStart w:id="2069" w:name="_Toc26479"/>
      <w:bookmarkStart w:id="2070" w:name="_Toc23630"/>
      <w:bookmarkStart w:id="2071" w:name="_Toc12910"/>
      <w:bookmarkStart w:id="2072" w:name="_Toc16883"/>
      <w:bookmarkStart w:id="2073" w:name="_Toc5186"/>
      <w:bookmarkStart w:id="2074" w:name="_Toc13993"/>
      <w:bookmarkStart w:id="2075" w:name="_Toc26986"/>
      <w:bookmarkStart w:id="2076" w:name="_Toc2290"/>
      <w:bookmarkStart w:id="2077" w:name="_Toc2815"/>
      <w:bookmarkStart w:id="2078" w:name="_Toc271"/>
      <w:r>
        <w:rPr>
          <w:rFonts w:hint="eastAsia" w:ascii="宋体" w:hAnsi="宋体" w:cs="宋体"/>
          <w:szCs w:val="21"/>
          <w:highlight w:val="none"/>
        </w:rPr>
        <w:t>经磋商确定最终采购需求和提交最后承诺内容的供应商后，由磋商小组采用综合评分法对提交最后承诺的供应商的响应文件和最后承诺内容进行综合评分。</w:t>
      </w:r>
      <w:bookmarkEnd w:id="2069"/>
      <w:bookmarkEnd w:id="2070"/>
      <w:bookmarkEnd w:id="2071"/>
      <w:bookmarkEnd w:id="2072"/>
      <w:bookmarkEnd w:id="2073"/>
      <w:bookmarkEnd w:id="2074"/>
      <w:bookmarkEnd w:id="2075"/>
      <w:bookmarkEnd w:id="2076"/>
      <w:bookmarkEnd w:id="2077"/>
      <w:bookmarkEnd w:id="2078"/>
    </w:p>
    <w:p>
      <w:pPr>
        <w:numPr>
          <w:ilvl w:val="1"/>
          <w:numId w:val="14"/>
        </w:numPr>
        <w:spacing w:line="360" w:lineRule="auto"/>
        <w:rPr>
          <w:rFonts w:ascii="宋体" w:hAnsi="宋体" w:cs="宋体"/>
          <w:b/>
          <w:szCs w:val="21"/>
          <w:highlight w:val="none"/>
        </w:rPr>
      </w:pPr>
      <w:r>
        <w:rPr>
          <w:rFonts w:hint="eastAsia" w:ascii="宋体" w:hAnsi="宋体" w:cs="宋体"/>
          <w:b/>
          <w:szCs w:val="21"/>
          <w:highlight w:val="none"/>
        </w:rPr>
        <w:t>评审权重</w:t>
      </w:r>
    </w:p>
    <w:p>
      <w:pPr>
        <w:tabs>
          <w:tab w:val="left" w:pos="85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评分权重分配如下：</w:t>
      </w:r>
    </w:p>
    <w:tbl>
      <w:tblPr>
        <w:tblStyle w:val="46"/>
        <w:tblW w:w="8132" w:type="dxa"/>
        <w:jc w:val="center"/>
        <w:tblInd w:w="3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5"/>
        <w:gridCol w:w="3013"/>
        <w:gridCol w:w="3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05" w:type="dxa"/>
            <w:vAlign w:val="center"/>
          </w:tcPr>
          <w:p>
            <w:pPr>
              <w:widowControl w:val="0"/>
              <w:jc w:val="center"/>
              <w:rPr>
                <w:rFonts w:ascii="宋体" w:hAnsi="宋体" w:cs="宋体"/>
                <w:b/>
                <w:bCs/>
                <w:color w:val="auto"/>
                <w:kern w:val="2"/>
                <w:szCs w:val="21"/>
                <w:highlight w:val="none"/>
              </w:rPr>
            </w:pPr>
            <w:r>
              <w:rPr>
                <w:rFonts w:hint="eastAsia" w:ascii="宋体" w:hAnsi="宋体" w:cs="宋体"/>
                <w:b/>
                <w:bCs/>
                <w:color w:val="auto"/>
                <w:kern w:val="2"/>
                <w:szCs w:val="21"/>
                <w:highlight w:val="none"/>
              </w:rPr>
              <w:t>评分项目</w:t>
            </w:r>
          </w:p>
        </w:tc>
        <w:tc>
          <w:tcPr>
            <w:tcW w:w="3013" w:type="dxa"/>
            <w:vAlign w:val="center"/>
          </w:tcPr>
          <w:p>
            <w:pPr>
              <w:widowControl w:val="0"/>
              <w:jc w:val="center"/>
              <w:rPr>
                <w:rFonts w:ascii="宋体" w:hAnsi="宋体" w:cs="宋体"/>
                <w:b/>
                <w:bCs/>
                <w:color w:val="auto"/>
                <w:kern w:val="2"/>
                <w:szCs w:val="21"/>
                <w:highlight w:val="none"/>
              </w:rPr>
            </w:pPr>
            <w:r>
              <w:rPr>
                <w:rFonts w:hint="eastAsia" w:ascii="宋体" w:hAnsi="宋体" w:cs="宋体"/>
                <w:b/>
                <w:bCs/>
                <w:color w:val="auto"/>
                <w:kern w:val="2"/>
                <w:szCs w:val="21"/>
                <w:highlight w:val="none"/>
              </w:rPr>
              <w:t>服务评分</w:t>
            </w:r>
          </w:p>
        </w:tc>
        <w:tc>
          <w:tcPr>
            <w:tcW w:w="3014" w:type="dxa"/>
            <w:vAlign w:val="center"/>
          </w:tcPr>
          <w:p>
            <w:pPr>
              <w:widowControl w:val="0"/>
              <w:jc w:val="center"/>
              <w:rPr>
                <w:rFonts w:ascii="宋体" w:hAnsi="宋体" w:cs="宋体"/>
                <w:b/>
                <w:bCs/>
                <w:color w:val="auto"/>
                <w:kern w:val="2"/>
                <w:szCs w:val="21"/>
                <w:highlight w:val="none"/>
              </w:rPr>
            </w:pPr>
            <w:r>
              <w:rPr>
                <w:rFonts w:hint="eastAsia" w:ascii="宋体" w:hAnsi="宋体" w:cs="宋体"/>
                <w:b/>
                <w:bCs/>
                <w:color w:val="auto"/>
                <w:kern w:val="2"/>
                <w:szCs w:val="21"/>
                <w:highlight w:val="none"/>
              </w:rPr>
              <w:t>商务评分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05" w:type="dxa"/>
            <w:vAlign w:val="center"/>
          </w:tcPr>
          <w:p>
            <w:pPr>
              <w:widowControl w:val="0"/>
              <w:jc w:val="center"/>
              <w:rPr>
                <w:rFonts w:ascii="宋体" w:hAnsi="宋体" w:cs="宋体"/>
                <w:b/>
                <w:color w:val="auto"/>
                <w:kern w:val="2"/>
                <w:szCs w:val="21"/>
                <w:highlight w:val="none"/>
              </w:rPr>
            </w:pPr>
            <w:r>
              <w:rPr>
                <w:rFonts w:hint="eastAsia" w:ascii="宋体" w:hAnsi="宋体" w:cs="宋体"/>
                <w:b/>
                <w:color w:val="auto"/>
                <w:kern w:val="2"/>
                <w:szCs w:val="21"/>
                <w:highlight w:val="none"/>
              </w:rPr>
              <w:t>权重</w:t>
            </w:r>
          </w:p>
        </w:tc>
        <w:tc>
          <w:tcPr>
            <w:tcW w:w="3013" w:type="dxa"/>
            <w:vAlign w:val="center"/>
          </w:tcPr>
          <w:p>
            <w:pPr>
              <w:widowControl w:val="0"/>
              <w:jc w:val="center"/>
              <w:rPr>
                <w:rFonts w:ascii="宋体" w:hAnsi="宋体" w:cs="宋体"/>
                <w:b/>
                <w:color w:val="auto"/>
                <w:szCs w:val="21"/>
                <w:highlight w:val="none"/>
              </w:rPr>
            </w:pPr>
            <w:r>
              <w:rPr>
                <w:rFonts w:hint="eastAsia" w:ascii="宋体" w:hAnsi="宋体"/>
                <w:b/>
                <w:color w:val="auto"/>
                <w:kern w:val="2"/>
                <w:highlight w:val="none"/>
              </w:rPr>
              <w:t>50%</w:t>
            </w:r>
          </w:p>
        </w:tc>
        <w:tc>
          <w:tcPr>
            <w:tcW w:w="3014" w:type="dxa"/>
            <w:vAlign w:val="center"/>
          </w:tcPr>
          <w:p>
            <w:pPr>
              <w:widowControl w:val="0"/>
              <w:jc w:val="center"/>
              <w:rPr>
                <w:rFonts w:ascii="宋体" w:hAnsi="宋体" w:cs="宋体"/>
                <w:b/>
                <w:color w:val="auto"/>
                <w:szCs w:val="21"/>
                <w:highlight w:val="none"/>
              </w:rPr>
            </w:pPr>
            <w:r>
              <w:rPr>
                <w:rFonts w:hint="eastAsia" w:ascii="宋体" w:hAnsi="宋体"/>
                <w:b/>
                <w:color w:val="auto"/>
                <w:kern w:val="2"/>
                <w:highlight w:val="none"/>
              </w:rPr>
              <w:t>50%</w:t>
            </w:r>
          </w:p>
        </w:tc>
      </w:tr>
    </w:tbl>
    <w:p>
      <w:pPr>
        <w:pStyle w:val="4"/>
        <w:rPr>
          <w:rFonts w:ascii="宋体" w:hAnsi="宋体" w:cs="宋体"/>
          <w:color w:val="auto"/>
          <w:szCs w:val="21"/>
          <w:highlight w:val="none"/>
        </w:rPr>
      </w:pPr>
    </w:p>
    <w:p>
      <w:pPr>
        <w:numPr>
          <w:ilvl w:val="1"/>
          <w:numId w:val="14"/>
        </w:numPr>
        <w:spacing w:line="360" w:lineRule="auto"/>
        <w:rPr>
          <w:rFonts w:ascii="宋体" w:hAnsi="宋体" w:cs="宋体"/>
          <w:b/>
          <w:szCs w:val="21"/>
          <w:highlight w:val="none"/>
        </w:rPr>
      </w:pPr>
      <w:r>
        <w:rPr>
          <w:rFonts w:hint="eastAsia" w:ascii="宋体" w:hAnsi="宋体" w:cs="宋体"/>
          <w:b/>
          <w:bCs/>
          <w:kern w:val="2"/>
          <w:szCs w:val="21"/>
          <w:highlight w:val="none"/>
        </w:rPr>
        <w:t>服务</w:t>
      </w:r>
      <w:r>
        <w:rPr>
          <w:rFonts w:hint="eastAsia" w:ascii="宋体" w:hAnsi="宋体" w:cs="宋体"/>
          <w:b/>
          <w:szCs w:val="21"/>
          <w:highlight w:val="none"/>
        </w:rPr>
        <w:t>、商务评审</w:t>
      </w:r>
    </w:p>
    <w:p>
      <w:pPr>
        <w:spacing w:line="360" w:lineRule="auto"/>
        <w:ind w:firstLine="422" w:firstLineChars="200"/>
        <w:rPr>
          <w:rFonts w:ascii="宋体" w:hAnsi="宋体" w:cs="宋体"/>
          <w:b/>
          <w:szCs w:val="21"/>
          <w:highlight w:val="none"/>
        </w:rPr>
      </w:pPr>
      <w:r>
        <w:rPr>
          <w:rFonts w:hint="eastAsia" w:ascii="宋体" w:hAnsi="宋体" w:cs="宋体"/>
          <w:b/>
          <w:bCs/>
          <w:kern w:val="2"/>
          <w:szCs w:val="21"/>
          <w:highlight w:val="none"/>
        </w:rPr>
        <w:t>1.服务</w:t>
      </w:r>
      <w:r>
        <w:rPr>
          <w:rFonts w:hint="eastAsia" w:ascii="宋体" w:hAnsi="宋体" w:cs="宋体"/>
          <w:b/>
          <w:szCs w:val="21"/>
          <w:highlight w:val="none"/>
        </w:rPr>
        <w:t>评审：</w:t>
      </w:r>
    </w:p>
    <w:p>
      <w:pPr>
        <w:tabs>
          <w:tab w:val="left" w:pos="0"/>
          <w:tab w:val="left" w:pos="720"/>
          <w:tab w:val="left" w:pos="1080"/>
        </w:tabs>
        <w:spacing w:line="360" w:lineRule="auto"/>
        <w:ind w:firstLine="420" w:firstLineChars="200"/>
        <w:jc w:val="both"/>
        <w:rPr>
          <w:rFonts w:ascii="宋体" w:hAnsi="宋体" w:cs="宋体"/>
          <w:szCs w:val="21"/>
          <w:highlight w:val="none"/>
        </w:rPr>
      </w:pPr>
      <w:r>
        <w:rPr>
          <w:rFonts w:hint="eastAsia" w:ascii="宋体" w:hAnsi="宋体" w:cs="宋体"/>
          <w:szCs w:val="21"/>
          <w:highlight w:val="none"/>
        </w:rPr>
        <w:t>由评委对所有有效响应文件的服务响应方案进行审核和分析，填写《服务评分表》（附表三）。</w:t>
      </w:r>
    </w:p>
    <w:p>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2.商务评审：</w:t>
      </w:r>
    </w:p>
    <w:p>
      <w:pPr>
        <w:tabs>
          <w:tab w:val="left" w:pos="0"/>
          <w:tab w:val="left" w:pos="720"/>
          <w:tab w:val="left" w:pos="1080"/>
        </w:tabs>
        <w:spacing w:line="360" w:lineRule="auto"/>
        <w:ind w:firstLine="420" w:firstLineChars="200"/>
        <w:jc w:val="both"/>
        <w:rPr>
          <w:rFonts w:ascii="宋体" w:hAnsi="宋体" w:cs="宋体"/>
          <w:szCs w:val="21"/>
          <w:highlight w:val="none"/>
        </w:rPr>
      </w:pPr>
      <w:r>
        <w:rPr>
          <w:rFonts w:hint="eastAsia" w:ascii="宋体" w:hAnsi="宋体" w:cs="宋体"/>
          <w:szCs w:val="21"/>
          <w:highlight w:val="none"/>
        </w:rPr>
        <w:t>由评委对所有有效响应文件的商务响应进行审核和评价，填写《商务评分表》（附表四）。</w:t>
      </w:r>
    </w:p>
    <w:p>
      <w:pPr>
        <w:pStyle w:val="4"/>
        <w:ind w:firstLine="0"/>
        <w:rPr>
          <w:rFonts w:ascii="宋体" w:hAnsi="宋体" w:cs="宋体"/>
          <w:szCs w:val="21"/>
          <w:highlight w:val="none"/>
        </w:rPr>
      </w:pPr>
    </w:p>
    <w:p>
      <w:pPr>
        <w:pStyle w:val="4"/>
        <w:rPr>
          <w:rFonts w:ascii="宋体" w:hAnsi="宋体" w:cs="宋体"/>
          <w:szCs w:val="21"/>
          <w:highlight w:val="none"/>
        </w:rPr>
      </w:pPr>
    </w:p>
    <w:p>
      <w:pPr>
        <w:numPr>
          <w:ilvl w:val="1"/>
          <w:numId w:val="14"/>
        </w:numPr>
        <w:spacing w:line="360" w:lineRule="auto"/>
        <w:rPr>
          <w:rFonts w:ascii="宋体" w:hAnsi="宋体" w:cs="宋体"/>
          <w:b/>
          <w:szCs w:val="21"/>
          <w:highlight w:val="none"/>
        </w:rPr>
      </w:pPr>
      <w:r>
        <w:rPr>
          <w:rFonts w:hint="eastAsia" w:ascii="宋体" w:hAnsi="宋体" w:cs="宋体"/>
          <w:b/>
          <w:szCs w:val="21"/>
          <w:highlight w:val="none"/>
        </w:rPr>
        <w:t>综合评分的计算</w:t>
      </w:r>
    </w:p>
    <w:p>
      <w:pPr>
        <w:numPr>
          <w:ilvl w:val="0"/>
          <w:numId w:val="15"/>
        </w:numPr>
        <w:tabs>
          <w:tab w:val="left" w:pos="-142"/>
          <w:tab w:val="left" w:pos="0"/>
          <w:tab w:val="left" w:pos="720"/>
        </w:tabs>
        <w:spacing w:line="360" w:lineRule="auto"/>
        <w:jc w:val="both"/>
        <w:rPr>
          <w:rFonts w:ascii="宋体" w:hAnsi="宋体" w:cs="宋体"/>
          <w:szCs w:val="21"/>
          <w:highlight w:val="none"/>
        </w:rPr>
      </w:pPr>
      <w:r>
        <w:rPr>
          <w:rFonts w:hint="eastAsia" w:ascii="宋体" w:hAnsi="宋体" w:cs="宋体"/>
          <w:szCs w:val="21"/>
          <w:highlight w:val="none"/>
        </w:rPr>
        <w:t>各评委的评分的算术平均值即为该供应商的服务评分或商务评分。</w:t>
      </w:r>
    </w:p>
    <w:p>
      <w:pPr>
        <w:numPr>
          <w:ilvl w:val="0"/>
          <w:numId w:val="15"/>
        </w:numPr>
        <w:tabs>
          <w:tab w:val="left" w:pos="-142"/>
          <w:tab w:val="left" w:pos="0"/>
          <w:tab w:val="left" w:pos="720"/>
          <w:tab w:val="clear" w:pos="840"/>
        </w:tabs>
        <w:spacing w:line="360" w:lineRule="auto"/>
        <w:ind w:left="0" w:firstLine="420"/>
        <w:jc w:val="both"/>
        <w:rPr>
          <w:rFonts w:ascii="宋体" w:hAnsi="宋体" w:cs="宋体"/>
          <w:szCs w:val="21"/>
          <w:highlight w:val="none"/>
        </w:rPr>
      </w:pPr>
      <w:r>
        <w:rPr>
          <w:rFonts w:hint="eastAsia" w:ascii="宋体" w:hAnsi="宋体" w:cs="宋体"/>
          <w:szCs w:val="21"/>
          <w:highlight w:val="none"/>
        </w:rPr>
        <w:t>综合评分=服务评分×50%＋商务评分×50%</w:t>
      </w:r>
      <w:r>
        <w:rPr>
          <w:rFonts w:hint="eastAsia" w:ascii="宋体" w:hAnsi="宋体" w:cs="宋体"/>
          <w:highlight w:val="none"/>
        </w:rPr>
        <w:t>（各项得分按四舍五入原则精确到小数点后两位）。</w:t>
      </w:r>
    </w:p>
    <w:p>
      <w:pPr>
        <w:tabs>
          <w:tab w:val="left" w:pos="-142"/>
          <w:tab w:val="left" w:pos="0"/>
          <w:tab w:val="left" w:pos="720"/>
        </w:tabs>
        <w:spacing w:line="360" w:lineRule="auto"/>
        <w:ind w:left="420"/>
        <w:jc w:val="both"/>
        <w:rPr>
          <w:rFonts w:ascii="宋体" w:hAnsi="宋体" w:cs="宋体"/>
          <w:szCs w:val="21"/>
          <w:highlight w:val="none"/>
        </w:rPr>
      </w:pPr>
    </w:p>
    <w:p>
      <w:pPr>
        <w:numPr>
          <w:ilvl w:val="1"/>
          <w:numId w:val="14"/>
        </w:numPr>
        <w:spacing w:line="360" w:lineRule="auto"/>
        <w:rPr>
          <w:rFonts w:ascii="宋体" w:hAnsi="宋体" w:cs="宋体"/>
          <w:b/>
          <w:bCs/>
          <w:szCs w:val="21"/>
          <w:highlight w:val="none"/>
        </w:rPr>
      </w:pPr>
      <w:r>
        <w:rPr>
          <w:rFonts w:hint="eastAsia" w:ascii="宋体" w:hAnsi="宋体" w:cs="宋体"/>
          <w:b/>
          <w:bCs/>
          <w:szCs w:val="21"/>
          <w:highlight w:val="none"/>
        </w:rPr>
        <w:t>成交候选供应商</w:t>
      </w:r>
    </w:p>
    <w:p>
      <w:pPr>
        <w:tabs>
          <w:tab w:val="left" w:pos="-142"/>
          <w:tab w:val="left" w:pos="0"/>
          <w:tab w:val="left" w:pos="720"/>
        </w:tabs>
        <w:spacing w:line="360" w:lineRule="auto"/>
        <w:ind w:firstLine="422" w:firstLineChars="200"/>
        <w:jc w:val="both"/>
        <w:rPr>
          <w:rFonts w:ascii="宋体" w:hAnsi="宋体" w:cs="宋体"/>
          <w:szCs w:val="21"/>
          <w:highlight w:val="none"/>
        </w:rPr>
      </w:pPr>
      <w:r>
        <w:rPr>
          <w:rFonts w:hint="eastAsia" w:ascii="宋体" w:hAnsi="宋体"/>
          <w:b/>
          <w:highlight w:val="none"/>
        </w:rPr>
        <w:t>本项目推荐两名</w:t>
      </w:r>
      <w:r>
        <w:rPr>
          <w:rFonts w:hint="eastAsia" w:hAnsi="宋体" w:cs="宋体"/>
          <w:b/>
          <w:szCs w:val="21"/>
          <w:highlight w:val="none"/>
        </w:rPr>
        <w:t>成交候选</w:t>
      </w:r>
      <w:r>
        <w:rPr>
          <w:rFonts w:hint="eastAsia" w:ascii="宋体" w:hAnsi="宋体" w:cs="宋体"/>
          <w:b/>
          <w:bCs/>
          <w:szCs w:val="21"/>
          <w:highlight w:val="none"/>
        </w:rPr>
        <w:t>供应商</w:t>
      </w:r>
      <w:r>
        <w:rPr>
          <w:rFonts w:hint="eastAsia" w:ascii="宋体" w:hAnsi="宋体"/>
          <w:b/>
          <w:highlight w:val="none"/>
        </w:rPr>
        <w:t>。</w:t>
      </w:r>
      <w:r>
        <w:rPr>
          <w:rFonts w:hint="eastAsia" w:ascii="宋体" w:hAnsi="宋体"/>
          <w:highlight w:val="none"/>
        </w:rPr>
        <w:t>将各有效供应商按其综合总得分由高到低顺序排列。综合总得分相同的，按下列顺序比较确定：（1）服务得分（由高到低）。如以上都相同的，名次由磋商小组抽签确定。</w:t>
      </w:r>
      <w:r>
        <w:rPr>
          <w:rFonts w:hint="eastAsia" w:ascii="宋体" w:hAnsi="宋体" w:cs="宋体"/>
          <w:szCs w:val="21"/>
          <w:highlight w:val="none"/>
        </w:rPr>
        <w:t>磋商小组按上述排列向采购人推荐综合总得分前两名为</w:t>
      </w:r>
      <w:r>
        <w:rPr>
          <w:rFonts w:hint="eastAsia" w:hAnsi="宋体" w:cs="宋体"/>
          <w:szCs w:val="21"/>
          <w:highlight w:val="none"/>
        </w:rPr>
        <w:t>成交候选</w:t>
      </w:r>
      <w:r>
        <w:rPr>
          <w:rFonts w:hint="eastAsia" w:ascii="宋体" w:hAnsi="宋体"/>
          <w:highlight w:val="none"/>
        </w:rPr>
        <w:t>供应商</w:t>
      </w:r>
      <w:r>
        <w:rPr>
          <w:rFonts w:hint="eastAsia" w:ascii="宋体" w:hAnsi="宋体" w:cs="宋体"/>
          <w:szCs w:val="21"/>
          <w:highlight w:val="none"/>
        </w:rPr>
        <w:t>。其余不列为</w:t>
      </w:r>
      <w:r>
        <w:rPr>
          <w:rFonts w:hint="eastAsia" w:hAnsi="宋体" w:cs="宋体"/>
          <w:szCs w:val="21"/>
          <w:highlight w:val="none"/>
        </w:rPr>
        <w:t>成交候选</w:t>
      </w:r>
      <w:r>
        <w:rPr>
          <w:rFonts w:hint="eastAsia" w:ascii="宋体" w:hAnsi="宋体"/>
          <w:highlight w:val="none"/>
        </w:rPr>
        <w:t>供应商</w:t>
      </w:r>
      <w:r>
        <w:rPr>
          <w:rFonts w:hint="eastAsia" w:ascii="宋体" w:hAnsi="宋体" w:cs="宋体"/>
          <w:szCs w:val="21"/>
          <w:highlight w:val="none"/>
        </w:rPr>
        <w:t>。</w:t>
      </w:r>
    </w:p>
    <w:p>
      <w:pPr>
        <w:tabs>
          <w:tab w:val="left" w:pos="-142"/>
          <w:tab w:val="left" w:pos="0"/>
          <w:tab w:val="left" w:pos="720"/>
        </w:tabs>
        <w:spacing w:line="360" w:lineRule="auto"/>
        <w:ind w:left="420"/>
        <w:jc w:val="both"/>
        <w:rPr>
          <w:rFonts w:ascii="宋体" w:hAnsi="宋体" w:cs="宋体"/>
          <w:szCs w:val="21"/>
          <w:highlight w:val="none"/>
        </w:rPr>
      </w:pPr>
    </w:p>
    <w:p>
      <w:pPr>
        <w:widowControl w:val="0"/>
        <w:numPr>
          <w:ilvl w:val="0"/>
          <w:numId w:val="0"/>
        </w:numPr>
        <w:spacing w:line="360" w:lineRule="auto"/>
        <w:outlineLvl w:val="1"/>
        <w:rPr>
          <w:rFonts w:hint="default" w:ascii="宋体" w:hAnsi="宋体"/>
          <w:b/>
          <w:bCs/>
          <w:color w:val="auto"/>
          <w:szCs w:val="21"/>
          <w:highlight w:val="none"/>
          <w:lang w:val="en-US" w:eastAsia="zh-CN"/>
        </w:rPr>
      </w:pPr>
      <w:bookmarkStart w:id="2079" w:name="_Toc10999"/>
      <w:bookmarkStart w:id="2080" w:name="_Toc10434"/>
      <w:bookmarkStart w:id="2081" w:name="_Toc7765"/>
      <w:r>
        <w:rPr>
          <w:rFonts w:hint="eastAsia" w:ascii="宋体" w:hAnsi="宋体"/>
          <w:b/>
          <w:bCs/>
          <w:color w:val="auto"/>
          <w:szCs w:val="21"/>
          <w:highlight w:val="none"/>
          <w:lang w:val="en-US" w:eastAsia="zh-CN"/>
        </w:rPr>
        <w:t>单一来源方式：</w:t>
      </w:r>
      <w:bookmarkEnd w:id="2079"/>
      <w:bookmarkEnd w:id="2080"/>
      <w:bookmarkEnd w:id="2081"/>
    </w:p>
    <w:p>
      <w:pPr>
        <w:widowControl w:val="0"/>
        <w:numPr>
          <w:ilvl w:val="0"/>
          <w:numId w:val="0"/>
        </w:numPr>
        <w:spacing w:line="360" w:lineRule="auto"/>
        <w:ind w:firstLine="422" w:firstLineChars="200"/>
        <w:outlineLvl w:val="1"/>
        <w:rPr>
          <w:rFonts w:hint="default" w:ascii="宋体" w:hAnsi="宋体"/>
          <w:b/>
          <w:bCs/>
          <w:color w:val="auto"/>
          <w:szCs w:val="21"/>
          <w:highlight w:val="none"/>
          <w:lang w:val="en-US" w:eastAsia="zh-CN"/>
        </w:rPr>
      </w:pPr>
      <w:bookmarkStart w:id="2082" w:name="_Toc12850"/>
      <w:bookmarkStart w:id="2083" w:name="_Toc9072"/>
      <w:bookmarkStart w:id="2084" w:name="_Toc13874"/>
      <w:bookmarkStart w:id="2085" w:name="_Toc7960"/>
      <w:r>
        <w:rPr>
          <w:rFonts w:hint="eastAsia" w:ascii="宋体" w:hAnsi="宋体"/>
          <w:b/>
          <w:bCs/>
          <w:color w:val="auto"/>
          <w:szCs w:val="21"/>
          <w:highlight w:val="none"/>
          <w:lang w:val="en-US" w:eastAsia="zh-CN"/>
        </w:rPr>
        <w:t>（一）供应商资格性审查</w:t>
      </w:r>
      <w:bookmarkEnd w:id="2082"/>
      <w:bookmarkEnd w:id="2083"/>
      <w:bookmarkEnd w:id="2084"/>
      <w:bookmarkEnd w:id="2085"/>
    </w:p>
    <w:p>
      <w:pPr>
        <w:widowControl w:val="0"/>
        <w:numPr>
          <w:ilvl w:val="0"/>
          <w:numId w:val="0"/>
        </w:numPr>
        <w:spacing w:line="360" w:lineRule="auto"/>
        <w:ind w:firstLine="420" w:firstLineChars="200"/>
        <w:outlineLvl w:val="1"/>
        <w:rPr>
          <w:rFonts w:hint="eastAsia" w:ascii="宋体" w:hAnsi="宋体"/>
          <w:b w:val="0"/>
          <w:bCs w:val="0"/>
          <w:color w:val="auto"/>
          <w:szCs w:val="21"/>
          <w:highlight w:val="none"/>
          <w:lang w:val="en-US" w:eastAsia="zh-CN"/>
        </w:rPr>
      </w:pPr>
      <w:bookmarkStart w:id="2086" w:name="_Toc2662"/>
      <w:bookmarkStart w:id="2087" w:name="_Toc1871"/>
      <w:bookmarkStart w:id="2088" w:name="_Toc8878"/>
      <w:bookmarkStart w:id="2089" w:name="_Toc25971"/>
      <w:r>
        <w:rPr>
          <w:rFonts w:hint="eastAsia" w:ascii="宋体" w:hAnsi="宋体"/>
          <w:b w:val="0"/>
          <w:bCs w:val="0"/>
          <w:color w:val="auto"/>
          <w:szCs w:val="21"/>
          <w:highlight w:val="none"/>
          <w:lang w:val="en-US" w:eastAsia="zh-CN"/>
        </w:rPr>
        <w:t>1、谈判小组将根据《资格性审查表》（附表一）内容逐条对响应文件的资格性进行评审，审查每份响应文件是否满足供应商资格要求。</w:t>
      </w:r>
      <w:bookmarkEnd w:id="2086"/>
      <w:bookmarkEnd w:id="2087"/>
      <w:bookmarkEnd w:id="2088"/>
      <w:bookmarkEnd w:id="2089"/>
    </w:p>
    <w:p>
      <w:pPr>
        <w:widowControl w:val="0"/>
        <w:numPr>
          <w:ilvl w:val="0"/>
          <w:numId w:val="0"/>
        </w:numPr>
        <w:spacing w:line="360" w:lineRule="auto"/>
        <w:ind w:firstLine="420" w:firstLineChars="200"/>
        <w:outlineLvl w:val="1"/>
        <w:rPr>
          <w:rFonts w:hint="eastAsia" w:ascii="宋体" w:hAnsi="宋体"/>
          <w:b w:val="0"/>
          <w:bCs w:val="0"/>
          <w:color w:val="auto"/>
          <w:szCs w:val="21"/>
          <w:highlight w:val="none"/>
          <w:lang w:val="en-US" w:eastAsia="zh-CN"/>
        </w:rPr>
      </w:pPr>
      <w:bookmarkStart w:id="2090" w:name="_Toc18170"/>
      <w:bookmarkStart w:id="2091" w:name="_Toc977"/>
      <w:bookmarkStart w:id="2092" w:name="_Toc1008"/>
      <w:bookmarkStart w:id="2093" w:name="_Toc313"/>
      <w:r>
        <w:rPr>
          <w:rFonts w:hint="eastAsia" w:ascii="宋体" w:hAnsi="宋体"/>
          <w:b w:val="0"/>
          <w:bCs w:val="0"/>
          <w:color w:val="auto"/>
          <w:szCs w:val="21"/>
          <w:highlight w:val="none"/>
          <w:lang w:val="en-US" w:eastAsia="zh-CN"/>
        </w:rPr>
        <w:t>2、只有全部满足《资格性审查表》所列各项要求的投标才是有效投标，只要不满足上述所列各项要求之一的，将被认定为无效投标。无效投标不能进入谈判程序。</w:t>
      </w:r>
      <w:bookmarkEnd w:id="2090"/>
      <w:bookmarkEnd w:id="2091"/>
      <w:bookmarkEnd w:id="2092"/>
      <w:bookmarkEnd w:id="2093"/>
    </w:p>
    <w:p>
      <w:pPr>
        <w:widowControl w:val="0"/>
        <w:numPr>
          <w:ilvl w:val="0"/>
          <w:numId w:val="0"/>
        </w:numPr>
        <w:spacing w:line="360" w:lineRule="auto"/>
        <w:ind w:firstLine="422" w:firstLineChars="200"/>
        <w:outlineLvl w:val="1"/>
        <w:rPr>
          <w:rFonts w:hint="default" w:ascii="宋体" w:hAnsi="宋体"/>
          <w:b/>
          <w:bCs/>
          <w:color w:val="auto"/>
          <w:szCs w:val="21"/>
          <w:highlight w:val="none"/>
          <w:lang w:val="en-US" w:eastAsia="zh-CN"/>
        </w:rPr>
      </w:pPr>
      <w:bookmarkStart w:id="2094" w:name="_Toc5858"/>
      <w:bookmarkStart w:id="2095" w:name="_Toc28250"/>
      <w:bookmarkStart w:id="2096" w:name="_Toc5773"/>
      <w:bookmarkStart w:id="2097" w:name="_Toc24726"/>
      <w:r>
        <w:rPr>
          <w:rFonts w:hint="eastAsia" w:ascii="宋体" w:hAnsi="宋体"/>
          <w:b/>
          <w:bCs/>
          <w:color w:val="auto"/>
          <w:szCs w:val="21"/>
          <w:highlight w:val="none"/>
          <w:lang w:val="en-US" w:eastAsia="zh-CN"/>
        </w:rPr>
        <w:t>（二）谈判</w:t>
      </w:r>
      <w:bookmarkEnd w:id="2094"/>
      <w:bookmarkEnd w:id="2095"/>
      <w:bookmarkEnd w:id="2096"/>
      <w:bookmarkEnd w:id="2097"/>
    </w:p>
    <w:p>
      <w:pPr>
        <w:widowControl w:val="0"/>
        <w:numPr>
          <w:ilvl w:val="0"/>
          <w:numId w:val="0"/>
        </w:numPr>
        <w:spacing w:line="360" w:lineRule="auto"/>
        <w:ind w:firstLine="420" w:firstLineChars="200"/>
        <w:outlineLvl w:val="1"/>
        <w:rPr>
          <w:rFonts w:hint="eastAsia" w:ascii="宋体" w:hAnsi="宋体"/>
          <w:b w:val="0"/>
          <w:bCs w:val="0"/>
          <w:color w:val="auto"/>
          <w:szCs w:val="21"/>
          <w:highlight w:val="none"/>
          <w:lang w:val="en-US" w:eastAsia="zh-CN"/>
        </w:rPr>
      </w:pPr>
      <w:bookmarkStart w:id="2098" w:name="_Toc22175"/>
      <w:bookmarkStart w:id="2099" w:name="_Toc17744"/>
      <w:bookmarkStart w:id="2100" w:name="_Toc14766"/>
      <w:bookmarkStart w:id="2101" w:name="_Toc27878"/>
      <w:r>
        <w:rPr>
          <w:rFonts w:hint="eastAsia" w:ascii="宋体" w:hAnsi="宋体"/>
          <w:b w:val="0"/>
          <w:bCs w:val="0"/>
          <w:color w:val="auto"/>
          <w:szCs w:val="21"/>
          <w:highlight w:val="none"/>
          <w:lang w:val="en-US" w:eastAsia="zh-CN"/>
        </w:rPr>
        <w:t>1、供应商单独与谈判小组成员就响应文件的服务及商务的内容进行谈判，供应商法定代表人或其授权代表需参加谈判并就谈判中所作出的承诺及澄清事项进行书面签字确认。</w:t>
      </w:r>
      <w:bookmarkEnd w:id="2098"/>
      <w:bookmarkEnd w:id="2099"/>
      <w:bookmarkEnd w:id="2100"/>
      <w:bookmarkEnd w:id="2101"/>
    </w:p>
    <w:p>
      <w:pPr>
        <w:widowControl w:val="0"/>
        <w:numPr>
          <w:ilvl w:val="0"/>
          <w:numId w:val="0"/>
        </w:numPr>
        <w:spacing w:line="360" w:lineRule="auto"/>
        <w:ind w:firstLine="422" w:firstLineChars="200"/>
        <w:outlineLvl w:val="1"/>
        <w:rPr>
          <w:rFonts w:hint="eastAsia" w:ascii="宋体" w:hAnsi="宋体"/>
          <w:b/>
          <w:bCs/>
          <w:color w:val="auto"/>
          <w:szCs w:val="21"/>
          <w:highlight w:val="none"/>
          <w:lang w:val="en-US" w:eastAsia="zh-CN"/>
        </w:rPr>
      </w:pPr>
      <w:bookmarkStart w:id="2102" w:name="_Toc16754"/>
      <w:bookmarkStart w:id="2103" w:name="_Toc18177"/>
      <w:bookmarkStart w:id="2104" w:name="_Toc27625"/>
      <w:bookmarkStart w:id="2105" w:name="_Toc13436"/>
      <w:r>
        <w:rPr>
          <w:rFonts w:hint="eastAsia" w:ascii="宋体" w:hAnsi="宋体"/>
          <w:b/>
          <w:bCs/>
          <w:color w:val="auto"/>
          <w:szCs w:val="21"/>
          <w:highlight w:val="none"/>
          <w:lang w:val="en-US" w:eastAsia="zh-CN"/>
        </w:rPr>
        <w:t>（三）供应商符合性审查</w:t>
      </w:r>
      <w:bookmarkEnd w:id="2102"/>
      <w:bookmarkEnd w:id="2103"/>
      <w:bookmarkEnd w:id="2104"/>
      <w:bookmarkEnd w:id="2105"/>
    </w:p>
    <w:p>
      <w:pPr>
        <w:widowControl w:val="0"/>
        <w:numPr>
          <w:ilvl w:val="0"/>
          <w:numId w:val="0"/>
        </w:numPr>
        <w:spacing w:line="360" w:lineRule="auto"/>
        <w:ind w:firstLine="420" w:firstLineChars="200"/>
        <w:outlineLvl w:val="1"/>
        <w:rPr>
          <w:rFonts w:hint="eastAsia" w:ascii="宋体" w:hAnsi="宋体"/>
          <w:b w:val="0"/>
          <w:bCs w:val="0"/>
          <w:color w:val="auto"/>
          <w:szCs w:val="21"/>
          <w:highlight w:val="none"/>
          <w:lang w:val="en-US" w:eastAsia="zh-CN"/>
        </w:rPr>
      </w:pPr>
      <w:bookmarkStart w:id="2106" w:name="_Toc26656"/>
      <w:bookmarkStart w:id="2107" w:name="_Toc28239"/>
      <w:bookmarkStart w:id="2108" w:name="_Toc28946"/>
      <w:bookmarkStart w:id="2109" w:name="_Toc11593"/>
      <w:r>
        <w:rPr>
          <w:rFonts w:hint="eastAsia" w:ascii="宋体" w:hAnsi="宋体"/>
          <w:b w:val="0"/>
          <w:bCs w:val="0"/>
          <w:color w:val="auto"/>
          <w:szCs w:val="21"/>
          <w:highlight w:val="none"/>
          <w:lang w:val="en-US" w:eastAsia="zh-CN"/>
        </w:rPr>
        <w:t>1、谈判小组将根据《符合性审查表》（附表二）内容及供应商的最新承诺进行符合性评审，审查每份响应文件是否符合采购文件的商务、服务等实质性要求。对符合性评审认定意见不一致的，谈判小组按简单多数原则表决决定。</w:t>
      </w:r>
      <w:bookmarkEnd w:id="2106"/>
      <w:bookmarkEnd w:id="2107"/>
      <w:bookmarkEnd w:id="2108"/>
      <w:bookmarkEnd w:id="2109"/>
    </w:p>
    <w:p>
      <w:pPr>
        <w:widowControl w:val="0"/>
        <w:numPr>
          <w:ilvl w:val="0"/>
          <w:numId w:val="0"/>
        </w:numPr>
        <w:spacing w:line="360" w:lineRule="auto"/>
        <w:ind w:firstLine="420" w:firstLineChars="200"/>
        <w:outlineLvl w:val="1"/>
        <w:rPr>
          <w:rFonts w:hint="eastAsia" w:ascii="宋体" w:hAnsi="宋体"/>
          <w:b w:val="0"/>
          <w:bCs w:val="0"/>
          <w:color w:val="auto"/>
          <w:szCs w:val="21"/>
          <w:highlight w:val="none"/>
          <w:lang w:val="en-US" w:eastAsia="zh-CN"/>
        </w:rPr>
      </w:pPr>
      <w:bookmarkStart w:id="2110" w:name="_Toc22510"/>
      <w:bookmarkStart w:id="2111" w:name="_Toc3110"/>
      <w:bookmarkStart w:id="2112" w:name="_Toc6708"/>
      <w:bookmarkStart w:id="2113" w:name="_Toc27526"/>
      <w:r>
        <w:rPr>
          <w:rFonts w:hint="eastAsia" w:ascii="宋体" w:hAnsi="宋体"/>
          <w:b w:val="0"/>
          <w:bCs w:val="0"/>
          <w:color w:val="auto"/>
          <w:szCs w:val="21"/>
          <w:highlight w:val="none"/>
          <w:lang w:val="en-US" w:eastAsia="zh-CN"/>
        </w:rPr>
        <w:t>2、只有全部满足《符合性审查表》所列各项要求的投标才是有效投标，只要不满足上述所列各项要求之一的，将被认定为无效投标。</w:t>
      </w:r>
      <w:bookmarkEnd w:id="2110"/>
      <w:bookmarkEnd w:id="2111"/>
      <w:bookmarkEnd w:id="2112"/>
      <w:bookmarkEnd w:id="2113"/>
    </w:p>
    <w:p>
      <w:pPr>
        <w:widowControl w:val="0"/>
        <w:numPr>
          <w:ilvl w:val="0"/>
          <w:numId w:val="0"/>
        </w:numPr>
        <w:spacing w:line="360" w:lineRule="auto"/>
        <w:ind w:firstLine="422" w:firstLineChars="200"/>
        <w:outlineLvl w:val="1"/>
        <w:rPr>
          <w:rFonts w:hint="default" w:ascii="宋体" w:hAnsi="宋体"/>
          <w:b/>
          <w:bCs/>
          <w:sz w:val="21"/>
          <w:szCs w:val="21"/>
          <w:highlight w:val="none"/>
          <w:lang w:val="en-US" w:eastAsia="zh-CN"/>
        </w:rPr>
      </w:pPr>
      <w:bookmarkStart w:id="2114" w:name="_Toc30068"/>
      <w:bookmarkStart w:id="2115" w:name="_Toc23561"/>
      <w:bookmarkStart w:id="2116" w:name="_Toc4221"/>
      <w:bookmarkStart w:id="2117" w:name="_Toc12533"/>
      <w:r>
        <w:rPr>
          <w:rFonts w:hint="eastAsia" w:ascii="宋体" w:hAnsi="宋体"/>
          <w:b/>
          <w:bCs/>
          <w:sz w:val="21"/>
          <w:szCs w:val="21"/>
          <w:highlight w:val="none"/>
          <w:lang w:val="en-US" w:eastAsia="zh-CN"/>
        </w:rPr>
        <w:t>（三）综合评审</w:t>
      </w:r>
      <w:bookmarkEnd w:id="2114"/>
      <w:bookmarkEnd w:id="2115"/>
      <w:bookmarkEnd w:id="2116"/>
      <w:bookmarkEnd w:id="2117"/>
    </w:p>
    <w:p>
      <w:pPr>
        <w:widowControl w:val="0"/>
        <w:numPr>
          <w:ilvl w:val="0"/>
          <w:numId w:val="0"/>
        </w:numPr>
        <w:spacing w:line="360" w:lineRule="auto"/>
        <w:ind w:firstLine="420" w:firstLineChars="200"/>
        <w:outlineLvl w:val="1"/>
        <w:rPr>
          <w:rFonts w:hint="eastAsia" w:ascii="宋体" w:hAnsi="宋体"/>
          <w:sz w:val="21"/>
          <w:szCs w:val="21"/>
          <w:highlight w:val="none"/>
          <w:lang w:val="en-US" w:eastAsia="zh-CN"/>
        </w:rPr>
      </w:pPr>
      <w:bookmarkStart w:id="2118" w:name="_Toc26285"/>
      <w:bookmarkStart w:id="2119" w:name="_Toc9698"/>
      <w:bookmarkStart w:id="2120" w:name="_Toc24967"/>
      <w:bookmarkStart w:id="2121" w:name="_Toc4064"/>
      <w:r>
        <w:rPr>
          <w:rFonts w:hint="eastAsia" w:ascii="宋体" w:hAnsi="宋体"/>
          <w:sz w:val="21"/>
          <w:szCs w:val="21"/>
          <w:highlight w:val="none"/>
          <w:lang w:val="en-US" w:eastAsia="zh-CN"/>
        </w:rPr>
        <w:t>1、首先对通过符合性审查的</w:t>
      </w:r>
      <w:r>
        <w:rPr>
          <w:rFonts w:hint="eastAsia" w:ascii="宋体" w:hAnsi="宋体"/>
          <w:b w:val="0"/>
          <w:bCs w:val="0"/>
          <w:color w:val="auto"/>
          <w:szCs w:val="21"/>
          <w:highlight w:val="none"/>
          <w:lang w:val="en-US" w:eastAsia="zh-CN"/>
        </w:rPr>
        <w:t>供应商</w:t>
      </w:r>
      <w:r>
        <w:rPr>
          <w:rFonts w:hint="eastAsia" w:ascii="宋体" w:hAnsi="宋体"/>
          <w:sz w:val="21"/>
          <w:szCs w:val="21"/>
          <w:highlight w:val="none"/>
          <w:lang w:val="en-US" w:eastAsia="zh-CN"/>
        </w:rPr>
        <w:t>进行商务、服务审查。</w:t>
      </w:r>
      <w:bookmarkEnd w:id="2118"/>
      <w:bookmarkEnd w:id="2119"/>
      <w:bookmarkEnd w:id="2120"/>
      <w:bookmarkEnd w:id="2121"/>
    </w:p>
    <w:p>
      <w:pPr>
        <w:tabs>
          <w:tab w:val="left" w:pos="-142"/>
          <w:tab w:val="left" w:pos="0"/>
          <w:tab w:val="left" w:pos="720"/>
        </w:tabs>
        <w:spacing w:line="360" w:lineRule="auto"/>
        <w:ind w:firstLine="420" w:firstLineChars="200"/>
        <w:jc w:val="both"/>
        <w:rPr>
          <w:rFonts w:ascii="宋体" w:hAnsi="宋体" w:cs="宋体"/>
          <w:szCs w:val="21"/>
          <w:highlight w:val="none"/>
        </w:rPr>
      </w:pPr>
      <w:bookmarkStart w:id="2122" w:name="_Toc26014"/>
      <w:bookmarkStart w:id="2123" w:name="_Toc2209"/>
      <w:r>
        <w:rPr>
          <w:rFonts w:hint="eastAsia" w:ascii="宋体" w:hAnsi="宋体"/>
          <w:sz w:val="21"/>
          <w:szCs w:val="21"/>
          <w:highlight w:val="none"/>
          <w:lang w:val="en-US" w:eastAsia="zh-CN"/>
        </w:rPr>
        <w:t>2、</w:t>
      </w:r>
      <w:r>
        <w:rPr>
          <w:rFonts w:hint="eastAsia" w:ascii="宋体" w:hAnsi="宋体" w:eastAsia="宋体" w:cs="宋体"/>
          <w:bCs/>
          <w:szCs w:val="21"/>
          <w:highlight w:val="none"/>
        </w:rPr>
        <w:t>谈判小组向采购人推荐满足各项要求的供应商作为成交候选供应商，由</w:t>
      </w:r>
      <w:r>
        <w:rPr>
          <w:rFonts w:hint="eastAsia" w:ascii="宋体" w:hAnsi="宋体" w:cs="宋体"/>
          <w:bCs/>
          <w:szCs w:val="21"/>
          <w:highlight w:val="none"/>
          <w:lang w:val="en-US" w:eastAsia="zh-CN"/>
        </w:rPr>
        <w:t>采购</w:t>
      </w:r>
      <w:r>
        <w:rPr>
          <w:rFonts w:hint="eastAsia" w:ascii="宋体" w:hAnsi="宋体" w:eastAsia="宋体" w:cs="宋体"/>
          <w:bCs/>
          <w:szCs w:val="21"/>
          <w:highlight w:val="none"/>
        </w:rPr>
        <w:t>人依法确认。</w:t>
      </w:r>
      <w:bookmarkEnd w:id="2122"/>
      <w:bookmarkEnd w:id="2123"/>
    </w:p>
    <w:p>
      <w:pPr>
        <w:tabs>
          <w:tab w:val="left" w:pos="-142"/>
          <w:tab w:val="left" w:pos="0"/>
          <w:tab w:val="left" w:pos="720"/>
        </w:tabs>
        <w:spacing w:line="360" w:lineRule="auto"/>
        <w:ind w:left="420"/>
        <w:jc w:val="both"/>
        <w:rPr>
          <w:rFonts w:ascii="宋体" w:hAnsi="宋体" w:cs="宋体"/>
          <w:szCs w:val="21"/>
          <w:highlight w:val="none"/>
        </w:rPr>
      </w:pPr>
    </w:p>
    <w:p>
      <w:pPr>
        <w:widowControl w:val="0"/>
        <w:numPr>
          <w:ilvl w:val="0"/>
          <w:numId w:val="0"/>
        </w:numPr>
        <w:spacing w:line="360" w:lineRule="auto"/>
        <w:outlineLvl w:val="1"/>
        <w:rPr>
          <w:rFonts w:ascii="宋体" w:hAnsi="宋体" w:cs="宋体"/>
          <w:b/>
          <w:szCs w:val="21"/>
          <w:highlight w:val="none"/>
        </w:rPr>
      </w:pPr>
      <w:bookmarkStart w:id="2124" w:name="_Toc3315890"/>
      <w:bookmarkStart w:id="2125" w:name="_Toc12686"/>
      <w:bookmarkStart w:id="2126" w:name="_Toc530939238"/>
      <w:bookmarkStart w:id="2127" w:name="_Toc529868396"/>
      <w:bookmarkStart w:id="2128" w:name="_Toc733"/>
      <w:bookmarkStart w:id="2129" w:name="_Toc29678"/>
      <w:bookmarkStart w:id="2130" w:name="_Toc525921391"/>
      <w:bookmarkStart w:id="2131" w:name="_Toc529868529"/>
      <w:bookmarkStart w:id="2132" w:name="_Toc5061"/>
      <w:bookmarkStart w:id="2133" w:name="_Toc6938954"/>
      <w:bookmarkStart w:id="2134" w:name="_Toc522520995"/>
      <w:bookmarkStart w:id="2135" w:name="_Toc4101"/>
      <w:bookmarkStart w:id="2136" w:name="_Toc12434"/>
      <w:bookmarkStart w:id="2137" w:name="_Toc529868265"/>
      <w:bookmarkStart w:id="2138" w:name="_Toc6581"/>
      <w:bookmarkStart w:id="2139" w:name="_Toc13441"/>
      <w:bookmarkStart w:id="2140" w:name="_Toc7420"/>
      <w:bookmarkStart w:id="2141" w:name="_Toc30691"/>
      <w:bookmarkStart w:id="2142" w:name="_Toc5738"/>
      <w:r>
        <w:rPr>
          <w:rFonts w:hint="eastAsia" w:ascii="宋体" w:hAnsi="宋体" w:cs="宋体"/>
          <w:b/>
          <w:szCs w:val="21"/>
          <w:highlight w:val="none"/>
        </w:rPr>
        <w:t>定标</w:t>
      </w:r>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p>
    <w:p>
      <w:pPr>
        <w:pStyle w:val="5"/>
        <w:numPr>
          <w:ilvl w:val="1"/>
          <w:numId w:val="16"/>
        </w:numPr>
        <w:tabs>
          <w:tab w:val="clear" w:pos="851"/>
        </w:tabs>
        <w:ind w:left="0" w:firstLine="425"/>
        <w:rPr>
          <w:rFonts w:hAnsi="宋体" w:cs="宋体"/>
          <w:szCs w:val="21"/>
          <w:highlight w:val="none"/>
        </w:rPr>
      </w:pPr>
      <w:bookmarkStart w:id="2143" w:name="_Toc3315892"/>
      <w:bookmarkStart w:id="2144" w:name="_Toc529868531"/>
      <w:bookmarkStart w:id="2145" w:name="_Toc5695"/>
      <w:bookmarkStart w:id="2146" w:name="_Toc529868398"/>
      <w:bookmarkStart w:id="2147" w:name="_Toc16180"/>
      <w:bookmarkStart w:id="2148" w:name="_Toc522520997"/>
      <w:bookmarkStart w:id="2149" w:name="_Toc529868267"/>
      <w:bookmarkStart w:id="2150" w:name="_Toc25360"/>
      <w:bookmarkStart w:id="2151" w:name="_Toc4594"/>
      <w:bookmarkStart w:id="2152" w:name="_Toc525921393"/>
      <w:bookmarkStart w:id="2153" w:name="_Toc12690"/>
      <w:bookmarkStart w:id="2154" w:name="_Toc23899"/>
      <w:bookmarkStart w:id="2155" w:name="_Toc530939240"/>
      <w:bookmarkStart w:id="2156" w:name="_Toc23672"/>
      <w:bookmarkStart w:id="2157" w:name="_Toc17950"/>
      <w:r>
        <w:rPr>
          <w:rFonts w:hint="eastAsia" w:hAnsi="宋体" w:cs="宋体"/>
          <w:szCs w:val="21"/>
          <w:highlight w:val="none"/>
        </w:rPr>
        <w:t>采购人根据磋商</w:t>
      </w:r>
      <w:r>
        <w:rPr>
          <w:rFonts w:hint="eastAsia" w:hAnsi="宋体" w:cs="宋体"/>
          <w:szCs w:val="21"/>
          <w:highlight w:val="none"/>
          <w:lang w:eastAsia="zh-CN"/>
        </w:rPr>
        <w:t>（</w:t>
      </w:r>
      <w:r>
        <w:rPr>
          <w:rFonts w:hint="eastAsia" w:hAnsi="宋体" w:cs="宋体"/>
          <w:szCs w:val="21"/>
          <w:highlight w:val="none"/>
          <w:lang w:val="en-US" w:eastAsia="zh-CN"/>
        </w:rPr>
        <w:t>谈判</w:t>
      </w:r>
      <w:r>
        <w:rPr>
          <w:rFonts w:hint="eastAsia" w:hAnsi="宋体" w:cs="宋体"/>
          <w:szCs w:val="21"/>
          <w:highlight w:val="none"/>
          <w:lang w:eastAsia="zh-CN"/>
        </w:rPr>
        <w:t>）</w:t>
      </w:r>
      <w:r>
        <w:rPr>
          <w:rFonts w:hint="eastAsia" w:hAnsi="宋体" w:cs="宋体"/>
          <w:szCs w:val="21"/>
          <w:highlight w:val="none"/>
        </w:rPr>
        <w:t>小组的推荐意见和有关法规确定成交供应商。</w:t>
      </w:r>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p>
    <w:p>
      <w:pPr>
        <w:pStyle w:val="5"/>
        <w:numPr>
          <w:ilvl w:val="1"/>
          <w:numId w:val="16"/>
        </w:numPr>
        <w:tabs>
          <w:tab w:val="clear" w:pos="851"/>
        </w:tabs>
        <w:ind w:left="0" w:firstLine="425"/>
        <w:rPr>
          <w:rFonts w:hAnsi="宋体" w:cs="宋体"/>
          <w:szCs w:val="21"/>
          <w:highlight w:val="none"/>
        </w:rPr>
      </w:pPr>
      <w:bookmarkStart w:id="2158" w:name="_Toc3315895"/>
      <w:bookmarkStart w:id="2159" w:name="_Toc529868401"/>
      <w:bookmarkStart w:id="2160" w:name="_Toc27102"/>
      <w:bookmarkStart w:id="2161" w:name="_Toc522521000"/>
      <w:bookmarkStart w:id="2162" w:name="_Toc12673"/>
      <w:bookmarkStart w:id="2163" w:name="_Toc6452"/>
      <w:bookmarkStart w:id="2164" w:name="_Toc530939243"/>
      <w:bookmarkStart w:id="2165" w:name="_Toc19595"/>
      <w:bookmarkStart w:id="2166" w:name="_Toc529868534"/>
      <w:bookmarkStart w:id="2167" w:name="_Toc21858"/>
      <w:bookmarkStart w:id="2168" w:name="_Toc529868270"/>
      <w:bookmarkStart w:id="2169" w:name="_Toc525921396"/>
      <w:bookmarkStart w:id="2170" w:name="_Toc31775"/>
      <w:bookmarkStart w:id="2171" w:name="_Toc22182"/>
      <w:bookmarkStart w:id="2172" w:name="_Toc9593"/>
      <w:r>
        <w:rPr>
          <w:rFonts w:hint="eastAsia" w:hAnsi="宋体" w:cs="宋体"/>
          <w:szCs w:val="21"/>
          <w:highlight w:val="none"/>
        </w:rPr>
        <w:t>采购结果确认后，采购代理机构将成交结果在相关媒体进行公告。不在成交候选</w:t>
      </w:r>
      <w:r>
        <w:rPr>
          <w:rFonts w:hint="eastAsia" w:hAnsi="宋体"/>
          <w:highlight w:val="none"/>
        </w:rPr>
        <w:t>供应商</w:t>
      </w:r>
      <w:r>
        <w:rPr>
          <w:rFonts w:hint="eastAsia" w:hAnsi="宋体" w:cs="宋体"/>
          <w:szCs w:val="21"/>
          <w:highlight w:val="none"/>
        </w:rPr>
        <w:t>名单之列者即为落标人，采购代理机构不再以其它方式另行通知。</w:t>
      </w:r>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p>
    <w:p>
      <w:pPr>
        <w:pStyle w:val="5"/>
        <w:numPr>
          <w:ilvl w:val="1"/>
          <w:numId w:val="16"/>
        </w:numPr>
        <w:tabs>
          <w:tab w:val="clear" w:pos="851"/>
        </w:tabs>
        <w:ind w:left="0" w:firstLine="425"/>
        <w:rPr>
          <w:rFonts w:hAnsi="宋体" w:cs="宋体"/>
          <w:szCs w:val="21"/>
          <w:highlight w:val="none"/>
        </w:rPr>
      </w:pPr>
      <w:bookmarkStart w:id="2173" w:name="_Toc23917"/>
      <w:bookmarkStart w:id="2174" w:name="_Toc17284"/>
      <w:bookmarkStart w:id="2175" w:name="_Toc32264"/>
      <w:bookmarkStart w:id="2176" w:name="_Toc3315896"/>
      <w:bookmarkStart w:id="2177" w:name="_Toc17459"/>
      <w:bookmarkStart w:id="2178" w:name="_Toc525921397"/>
      <w:bookmarkStart w:id="2179" w:name="_Toc21730"/>
      <w:bookmarkStart w:id="2180" w:name="_Toc530939244"/>
      <w:bookmarkStart w:id="2181" w:name="_Toc18289"/>
      <w:bookmarkStart w:id="2182" w:name="_Toc522521001"/>
      <w:bookmarkStart w:id="2183" w:name="_Toc9996"/>
      <w:bookmarkStart w:id="2184" w:name="_Toc529868271"/>
      <w:bookmarkStart w:id="2185" w:name="_Toc529868402"/>
      <w:bookmarkStart w:id="2186" w:name="_Toc529868535"/>
      <w:bookmarkStart w:id="2187" w:name="_Toc21173"/>
      <w:r>
        <w:rPr>
          <w:rFonts w:hint="eastAsia" w:hAnsi="宋体" w:cs="宋体"/>
          <w:szCs w:val="21"/>
          <w:highlight w:val="none"/>
        </w:rPr>
        <w:t>成交结果公告后，采购代理机构以书面形式向成交</w:t>
      </w:r>
      <w:r>
        <w:rPr>
          <w:rFonts w:hint="eastAsia" w:hAnsi="宋体"/>
          <w:highlight w:val="none"/>
        </w:rPr>
        <w:t>供应商</w:t>
      </w:r>
      <w:r>
        <w:rPr>
          <w:rFonts w:hint="eastAsia" w:hAnsi="宋体" w:cs="宋体"/>
          <w:szCs w:val="21"/>
          <w:highlight w:val="none"/>
        </w:rPr>
        <w:t>发出《通知函》。</w:t>
      </w:r>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p>
    <w:p>
      <w:pPr>
        <w:pStyle w:val="5"/>
        <w:numPr>
          <w:ilvl w:val="1"/>
          <w:numId w:val="16"/>
        </w:numPr>
        <w:tabs>
          <w:tab w:val="clear" w:pos="851"/>
        </w:tabs>
        <w:ind w:left="0" w:firstLine="425"/>
        <w:rPr>
          <w:rFonts w:hAnsi="宋体" w:cs="宋体"/>
          <w:szCs w:val="21"/>
          <w:highlight w:val="none"/>
        </w:rPr>
      </w:pPr>
      <w:bookmarkStart w:id="2188" w:name="_Toc530939245"/>
      <w:bookmarkStart w:id="2189" w:name="_Toc10678"/>
      <w:bookmarkStart w:id="2190" w:name="_Toc21271"/>
      <w:bookmarkStart w:id="2191" w:name="_Toc3315897"/>
      <w:bookmarkStart w:id="2192" w:name="_Toc128"/>
      <w:bookmarkStart w:id="2193" w:name="_Toc525921398"/>
      <w:bookmarkStart w:id="2194" w:name="_Toc29116"/>
      <w:bookmarkStart w:id="2195" w:name="_Toc24606"/>
      <w:bookmarkStart w:id="2196" w:name="_Toc529868536"/>
      <w:bookmarkStart w:id="2197" w:name="_Toc529868272"/>
      <w:bookmarkStart w:id="2198" w:name="_Toc529868403"/>
      <w:bookmarkStart w:id="2199" w:name="_Toc16150"/>
      <w:bookmarkStart w:id="2200" w:name="_Toc522521002"/>
      <w:bookmarkStart w:id="2201" w:name="_Toc27216"/>
      <w:bookmarkStart w:id="2202" w:name="_Toc25864"/>
      <w:r>
        <w:rPr>
          <w:rFonts w:hint="eastAsia" w:hAnsi="宋体" w:cs="宋体"/>
          <w:szCs w:val="21"/>
          <w:highlight w:val="none"/>
        </w:rPr>
        <w:t>成交</w:t>
      </w:r>
      <w:r>
        <w:rPr>
          <w:rFonts w:hint="eastAsia" w:hAnsi="宋体"/>
          <w:highlight w:val="none"/>
        </w:rPr>
        <w:t>供应商</w:t>
      </w:r>
      <w:r>
        <w:rPr>
          <w:rFonts w:hint="eastAsia" w:hAnsi="宋体" w:cs="宋体"/>
          <w:szCs w:val="21"/>
          <w:highlight w:val="none"/>
        </w:rPr>
        <w:t>到采购代理机构领取《成交通知书》。《成交通知书》将作为授予合同资格的唯一合法依据。</w:t>
      </w:r>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p>
    <w:p>
      <w:pPr>
        <w:pStyle w:val="5"/>
        <w:numPr>
          <w:ilvl w:val="1"/>
          <w:numId w:val="16"/>
        </w:numPr>
        <w:tabs>
          <w:tab w:val="clear" w:pos="851"/>
        </w:tabs>
        <w:ind w:left="0" w:firstLine="425"/>
        <w:rPr>
          <w:rFonts w:hAnsi="宋体" w:cs="宋体"/>
          <w:szCs w:val="21"/>
          <w:highlight w:val="none"/>
        </w:rPr>
      </w:pPr>
      <w:bookmarkStart w:id="2203" w:name="_Toc28782"/>
      <w:bookmarkStart w:id="2204" w:name="_Toc19181"/>
      <w:bookmarkStart w:id="2205" w:name="_Toc529868404"/>
      <w:bookmarkStart w:id="2206" w:name="_Toc522521003"/>
      <w:bookmarkStart w:id="2207" w:name="_Toc10235"/>
      <w:bookmarkStart w:id="2208" w:name="_Toc31828"/>
      <w:bookmarkStart w:id="2209" w:name="_Toc529868537"/>
      <w:bookmarkStart w:id="2210" w:name="_Toc28988"/>
      <w:bookmarkStart w:id="2211" w:name="_Toc529868273"/>
      <w:bookmarkStart w:id="2212" w:name="_Toc525921399"/>
      <w:bookmarkStart w:id="2213" w:name="_Toc3315898"/>
      <w:bookmarkStart w:id="2214" w:name="_Toc6153"/>
      <w:bookmarkStart w:id="2215" w:name="_Toc530939246"/>
      <w:bookmarkStart w:id="2216" w:name="_Toc5274"/>
      <w:bookmarkStart w:id="2217" w:name="_Toc11310"/>
      <w:r>
        <w:rPr>
          <w:rFonts w:hint="eastAsia" w:hAnsi="宋体" w:cs="宋体"/>
          <w:szCs w:val="21"/>
          <w:highlight w:val="none"/>
        </w:rPr>
        <w:t>成交</w:t>
      </w:r>
      <w:r>
        <w:rPr>
          <w:rFonts w:hint="eastAsia" w:hAnsi="宋体"/>
          <w:highlight w:val="none"/>
        </w:rPr>
        <w:t>供应商</w:t>
      </w:r>
      <w:r>
        <w:rPr>
          <w:rFonts w:hint="eastAsia" w:hAnsi="宋体" w:cs="宋体"/>
          <w:szCs w:val="21"/>
          <w:highlight w:val="none"/>
        </w:rPr>
        <w:t>放弃成交的，应当依法承担法律责任。</w:t>
      </w:r>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p>
    <w:p>
      <w:pPr>
        <w:pStyle w:val="4"/>
        <w:ind w:firstLine="0"/>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pStyle w:val="4"/>
        <w:ind w:firstLine="0"/>
        <w:rPr>
          <w:rFonts w:ascii="宋体" w:hAnsi="宋体" w:cs="宋体"/>
          <w:b/>
          <w:bCs/>
          <w:szCs w:val="21"/>
          <w:highlight w:val="none"/>
        </w:rPr>
      </w:pPr>
      <w:r>
        <w:rPr>
          <w:rFonts w:hint="eastAsia" w:ascii="宋体" w:hAnsi="宋体" w:cs="宋体"/>
          <w:b/>
          <w:bCs/>
          <w:szCs w:val="21"/>
          <w:highlight w:val="none"/>
        </w:rPr>
        <w:br w:type="page"/>
      </w:r>
      <w:r>
        <w:rPr>
          <w:rFonts w:hint="eastAsia" w:ascii="宋体" w:hAnsi="宋体" w:cs="宋体"/>
          <w:b/>
          <w:bCs/>
          <w:szCs w:val="21"/>
          <w:highlight w:val="none"/>
        </w:rPr>
        <w:t>附表一：</w:t>
      </w:r>
    </w:p>
    <w:p>
      <w:pPr>
        <w:pStyle w:val="4"/>
        <w:spacing w:line="360" w:lineRule="auto"/>
        <w:ind w:firstLine="0"/>
        <w:rPr>
          <w:rFonts w:ascii="宋体" w:hAnsi="宋体" w:cs="宋体"/>
          <w:szCs w:val="21"/>
          <w:highlight w:val="none"/>
        </w:rPr>
      </w:pPr>
    </w:p>
    <w:p>
      <w:pPr>
        <w:tabs>
          <w:tab w:val="left" w:pos="720"/>
          <w:tab w:val="left" w:pos="1080"/>
        </w:tabs>
        <w:spacing w:line="360" w:lineRule="auto"/>
        <w:ind w:left="840"/>
        <w:jc w:val="center"/>
        <w:rPr>
          <w:rFonts w:ascii="宋体" w:hAnsi="宋体" w:cs="宋体"/>
          <w:b/>
          <w:sz w:val="24"/>
          <w:szCs w:val="24"/>
          <w:highlight w:val="none"/>
        </w:rPr>
      </w:pPr>
      <w:r>
        <w:rPr>
          <w:rFonts w:hint="eastAsia" w:ascii="宋体" w:hAnsi="宋体" w:cs="宋体"/>
          <w:b/>
          <w:sz w:val="24"/>
          <w:szCs w:val="24"/>
          <w:highlight w:val="none"/>
        </w:rPr>
        <w:t>资格性审查表</w:t>
      </w:r>
    </w:p>
    <w:tbl>
      <w:tblPr>
        <w:tblStyle w:val="46"/>
        <w:tblW w:w="9087" w:type="dxa"/>
        <w:jc w:val="center"/>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1851"/>
        <w:gridCol w:w="7236"/>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jc w:val="center"/>
        </w:trPr>
        <w:tc>
          <w:tcPr>
            <w:tcW w:w="1851"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highlight w:val="none"/>
              </w:rPr>
            </w:pPr>
            <w:r>
              <w:rPr>
                <w:rStyle w:val="49"/>
                <w:rFonts w:ascii="宋体" w:hAnsi="宋体"/>
                <w:highlight w:val="none"/>
              </w:rPr>
              <w:t>审查项目</w:t>
            </w:r>
          </w:p>
        </w:tc>
        <w:tc>
          <w:tcPr>
            <w:tcW w:w="7236"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highlight w:val="none"/>
              </w:rPr>
            </w:pPr>
            <w:r>
              <w:rPr>
                <w:rStyle w:val="49"/>
                <w:rFonts w:ascii="宋体" w:hAnsi="宋体"/>
                <w:highlight w:val="none"/>
              </w:rPr>
              <w:t>要求</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939" w:hRule="atLeast"/>
          <w:jc w:val="center"/>
        </w:trPr>
        <w:tc>
          <w:tcPr>
            <w:tcW w:w="1851" w:type="dxa"/>
            <w:vMerge w:val="restart"/>
            <w:tcBorders>
              <w:top w:val="outset" w:color="111111" w:sz="6" w:space="0"/>
              <w:left w:val="outset" w:color="111111" w:sz="6" w:space="0"/>
              <w:right w:val="outset" w:color="111111" w:sz="6" w:space="0"/>
            </w:tcBorders>
            <w:vAlign w:val="center"/>
          </w:tcPr>
          <w:p>
            <w:pPr>
              <w:pStyle w:val="41"/>
              <w:jc w:val="center"/>
              <w:rPr>
                <w:sz w:val="21"/>
                <w:szCs w:val="21"/>
                <w:highlight w:val="none"/>
              </w:rPr>
            </w:pPr>
            <w:r>
              <w:rPr>
                <w:rFonts w:hint="eastAsia"/>
                <w:sz w:val="21"/>
                <w:szCs w:val="21"/>
                <w:highlight w:val="none"/>
              </w:rPr>
              <w:t>资格性</w:t>
            </w:r>
            <w:r>
              <w:rPr>
                <w:sz w:val="21"/>
                <w:szCs w:val="21"/>
                <w:highlight w:val="none"/>
              </w:rPr>
              <w:t>审查</w:t>
            </w:r>
          </w:p>
        </w:tc>
        <w:tc>
          <w:tcPr>
            <w:tcW w:w="7236" w:type="dxa"/>
            <w:tcBorders>
              <w:top w:val="outset" w:color="111111" w:sz="6" w:space="0"/>
              <w:left w:val="outset" w:color="111111" w:sz="6" w:space="0"/>
              <w:right w:val="outset" w:color="111111" w:sz="6" w:space="0"/>
            </w:tcBorders>
            <w:vAlign w:val="center"/>
          </w:tcPr>
          <w:p>
            <w:pPr>
              <w:rPr>
                <w:rFonts w:ascii="宋体" w:hAnsi="宋体" w:cs="宋体"/>
                <w:highlight w:val="none"/>
              </w:rPr>
            </w:pPr>
            <w:r>
              <w:rPr>
                <w:rFonts w:hint="eastAsia" w:ascii="宋体" w:hAnsi="宋体" w:cs="宋体"/>
                <w:highlight w:val="none"/>
              </w:rPr>
              <w:t>1、供应商具备《政府采购法》第二十二条所规定的条件：1）供应商必须是具有独立承担民事责任能力的在中华人民共和国境内注册的法人或其他组织或自然人（提交有效的营业执照（或事业法人登记证等相关证明）副本复印件）。2）供应商必须具有良好的商业信誉和健全的财务会计制度（提供2019度财务状况报告或基本开户行出具的资信证明）。3）有依法缴纳税收和社会保障资金的良好记录（提供磋商截止日前6个月内任意1个月依法缴纳税收和社会保障资金的相关材料。如依法免税或不需要缴纳社会保障资金的，提供相应证明材料）。4）具备履行合同所必需的设备和专业技术能力（按第五章格式填报设备和专业技术能力情况表）。5）供应商参加政府采购活动前三年内，在经营活动中没有重大违法记录（提供声明函，格式见第五章）。6）供应商必须符合法律、行政法规规定的其他条件（提供声明函，格式见第五章）</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jc w:val="center"/>
        </w:trPr>
        <w:tc>
          <w:tcPr>
            <w:tcW w:w="1851" w:type="dxa"/>
            <w:vMerge w:val="continue"/>
            <w:tcBorders>
              <w:left w:val="outset" w:color="111111" w:sz="6" w:space="0"/>
              <w:right w:val="outset" w:color="111111" w:sz="6" w:space="0"/>
            </w:tcBorders>
            <w:vAlign w:val="center"/>
          </w:tcPr>
          <w:p>
            <w:pPr>
              <w:pStyle w:val="41"/>
              <w:jc w:val="center"/>
              <w:rPr>
                <w:sz w:val="21"/>
                <w:szCs w:val="21"/>
                <w:highlight w:val="none"/>
              </w:rPr>
            </w:pPr>
          </w:p>
        </w:tc>
        <w:tc>
          <w:tcPr>
            <w:tcW w:w="7236"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highlight w:val="none"/>
              </w:rPr>
            </w:pPr>
            <w:r>
              <w:rPr>
                <w:rFonts w:hint="eastAsia" w:ascii="宋体" w:hAnsi="宋体" w:cs="宋体"/>
                <w:highlight w:val="none"/>
              </w:rPr>
              <w:t>2、本项目不接受联合体</w:t>
            </w:r>
            <w:r>
              <w:rPr>
                <w:rFonts w:hint="eastAsia" w:ascii="宋体" w:hAnsi="宋体" w:cs="宋体"/>
                <w:highlight w:val="none"/>
                <w:lang w:val="en-US" w:eastAsia="zh-CN"/>
              </w:rPr>
              <w:t>投标</w:t>
            </w:r>
            <w:r>
              <w:rPr>
                <w:rFonts w:hint="eastAsia" w:ascii="宋体" w:hAnsi="宋体" w:cs="宋体"/>
                <w:highlight w:val="none"/>
              </w:rPr>
              <w:t>。</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jc w:val="center"/>
        </w:trPr>
        <w:tc>
          <w:tcPr>
            <w:tcW w:w="1851" w:type="dxa"/>
            <w:vMerge w:val="continue"/>
            <w:tcBorders>
              <w:left w:val="outset" w:color="111111" w:sz="6" w:space="0"/>
              <w:right w:val="outset" w:color="111111" w:sz="6" w:space="0"/>
            </w:tcBorders>
            <w:vAlign w:val="center"/>
          </w:tcPr>
          <w:p>
            <w:pPr>
              <w:pStyle w:val="41"/>
              <w:jc w:val="center"/>
              <w:rPr>
                <w:sz w:val="21"/>
                <w:szCs w:val="21"/>
                <w:highlight w:val="none"/>
              </w:rPr>
            </w:pPr>
          </w:p>
        </w:tc>
        <w:tc>
          <w:tcPr>
            <w:tcW w:w="7236"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highlight w:val="none"/>
              </w:rPr>
            </w:pPr>
            <w:r>
              <w:rPr>
                <w:rFonts w:hint="eastAsia" w:ascii="宋体" w:hAnsi="宋体" w:cs="宋体"/>
                <w:highlight w:val="none"/>
              </w:rPr>
              <w:t>3、已登记报名并获取本项目磋商文件。</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jc w:val="center"/>
        </w:trPr>
        <w:tc>
          <w:tcPr>
            <w:tcW w:w="1851" w:type="dxa"/>
            <w:vMerge w:val="continue"/>
            <w:tcBorders>
              <w:left w:val="outset" w:color="111111" w:sz="6" w:space="0"/>
              <w:right w:val="outset" w:color="111111" w:sz="6" w:space="0"/>
            </w:tcBorders>
            <w:vAlign w:val="center"/>
          </w:tcPr>
          <w:p>
            <w:pPr>
              <w:pStyle w:val="41"/>
              <w:jc w:val="center"/>
              <w:rPr>
                <w:sz w:val="21"/>
                <w:szCs w:val="21"/>
                <w:highlight w:val="none"/>
              </w:rPr>
            </w:pPr>
          </w:p>
        </w:tc>
        <w:tc>
          <w:tcPr>
            <w:tcW w:w="7236" w:type="dxa"/>
            <w:tcBorders>
              <w:top w:val="outset" w:color="111111" w:sz="6" w:space="0"/>
              <w:left w:val="outset" w:color="111111" w:sz="6" w:space="0"/>
              <w:bottom w:val="outset" w:color="111111" w:sz="6" w:space="0"/>
              <w:right w:val="outset" w:color="111111" w:sz="6" w:space="0"/>
            </w:tcBorders>
            <w:vAlign w:val="center"/>
          </w:tcPr>
          <w:p>
            <w:pPr>
              <w:rPr>
                <w:rFonts w:ascii="宋体" w:hAnsi="宋体"/>
                <w:highlight w:val="none"/>
              </w:rPr>
            </w:pPr>
            <w:r>
              <w:rPr>
                <w:rFonts w:hint="eastAsia" w:ascii="宋体" w:hAnsi="宋体" w:cs="宋体"/>
                <w:highlight w:val="none"/>
              </w:rPr>
              <w:t>4、供应商未被列入“信用中国”网站(www.creditchina.gov.cn)“记录失信被执行人或重大税收违法案件当事人名单或政府采购严重违法失信行为”记录名单。（采购代理机构将于投标截止日当天在“信用中国”网站（www.creditchina.gov.cn）上查询相关信息。如查询结果未发现失信行为，视为评审时供应商符合本款要求）</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jc w:val="center"/>
        </w:trPr>
        <w:tc>
          <w:tcPr>
            <w:tcW w:w="1851" w:type="dxa"/>
            <w:vMerge w:val="continue"/>
            <w:tcBorders>
              <w:left w:val="outset" w:color="111111" w:sz="6" w:space="0"/>
              <w:right w:val="outset" w:color="111111" w:sz="6" w:space="0"/>
            </w:tcBorders>
            <w:vAlign w:val="center"/>
          </w:tcPr>
          <w:p>
            <w:pPr>
              <w:pStyle w:val="41"/>
              <w:jc w:val="center"/>
              <w:rPr>
                <w:sz w:val="21"/>
                <w:szCs w:val="21"/>
                <w:highlight w:val="none"/>
              </w:rPr>
            </w:pPr>
          </w:p>
        </w:tc>
        <w:tc>
          <w:tcPr>
            <w:tcW w:w="7236"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highlight w:val="none"/>
              </w:rPr>
            </w:pPr>
            <w:r>
              <w:rPr>
                <w:rFonts w:hint="eastAsia" w:ascii="宋体" w:hAnsi="宋体" w:cs="宋体"/>
                <w:highlight w:val="none"/>
              </w:rPr>
              <w:t>5、单位负责人为同一人或者存在直接控股、管理关系的不同供应商，不得参加同一合同项下的政府采购活动。（提供声明函，格式见第五章）</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jc w:val="center"/>
        </w:trPr>
        <w:tc>
          <w:tcPr>
            <w:tcW w:w="1851" w:type="dxa"/>
            <w:vMerge w:val="continue"/>
            <w:tcBorders>
              <w:left w:val="outset" w:color="111111" w:sz="6" w:space="0"/>
              <w:right w:val="outset" w:color="111111" w:sz="6" w:space="0"/>
            </w:tcBorders>
            <w:vAlign w:val="center"/>
          </w:tcPr>
          <w:p>
            <w:pPr>
              <w:pStyle w:val="41"/>
              <w:jc w:val="center"/>
              <w:rPr>
                <w:sz w:val="21"/>
                <w:szCs w:val="21"/>
                <w:highlight w:val="none"/>
              </w:rPr>
            </w:pPr>
          </w:p>
        </w:tc>
        <w:tc>
          <w:tcPr>
            <w:tcW w:w="7236" w:type="dxa"/>
            <w:tcBorders>
              <w:top w:val="outset" w:color="111111" w:sz="6" w:space="0"/>
              <w:left w:val="outset" w:color="111111" w:sz="6" w:space="0"/>
              <w:bottom w:val="outset" w:color="111111" w:sz="6" w:space="0"/>
              <w:right w:val="outset" w:color="111111" w:sz="6" w:space="0"/>
            </w:tcBorders>
            <w:vAlign w:val="center"/>
          </w:tcPr>
          <w:p>
            <w:pPr>
              <w:rPr>
                <w:rFonts w:ascii="宋体" w:hAnsi="宋体"/>
                <w:highlight w:val="none"/>
              </w:rPr>
            </w:pPr>
            <w:r>
              <w:rPr>
                <w:rFonts w:hint="eastAsia" w:ascii="宋体" w:hAnsi="宋体" w:cs="宋体"/>
                <w:highlight w:val="none"/>
              </w:rPr>
              <w:t>6、为采购项目提供整体设计、规范编制或者项目管理、监理、检测等服务的供应商，不得再参加该采购项目的其他采购活动。（提供声明函，格式见第五章）</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jc w:val="center"/>
        </w:trPr>
        <w:tc>
          <w:tcPr>
            <w:tcW w:w="1851" w:type="dxa"/>
            <w:vMerge w:val="continue"/>
            <w:tcBorders>
              <w:left w:val="outset" w:color="111111" w:sz="6" w:space="0"/>
              <w:right w:val="outset" w:color="111111" w:sz="6" w:space="0"/>
            </w:tcBorders>
            <w:vAlign w:val="center"/>
          </w:tcPr>
          <w:p>
            <w:pPr>
              <w:pStyle w:val="41"/>
              <w:jc w:val="center"/>
              <w:rPr>
                <w:sz w:val="21"/>
                <w:szCs w:val="21"/>
                <w:highlight w:val="none"/>
              </w:rPr>
            </w:pPr>
          </w:p>
        </w:tc>
        <w:tc>
          <w:tcPr>
            <w:tcW w:w="7236"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highlight w:val="none"/>
              </w:rPr>
            </w:pPr>
            <w:r>
              <w:rPr>
                <w:rFonts w:hint="eastAsia" w:ascii="宋体" w:hAnsi="宋体" w:cs="宋体"/>
                <w:highlight w:val="none"/>
              </w:rPr>
              <w:t>7、供应商所投的电商平台必须具有ICP备案或ICP经营许可证（需提供相关证明材料），确保学校数据和业务安全。</w:t>
            </w:r>
          </w:p>
        </w:tc>
      </w:tr>
    </w:tbl>
    <w:p>
      <w:pPr>
        <w:pStyle w:val="4"/>
        <w:spacing w:line="360" w:lineRule="auto"/>
        <w:ind w:firstLine="210" w:firstLineChars="100"/>
        <w:rPr>
          <w:rFonts w:ascii="宋体" w:hAnsi="宋体" w:cs="宋体"/>
          <w:szCs w:val="21"/>
          <w:highlight w:val="none"/>
        </w:rPr>
      </w:pPr>
      <w:r>
        <w:rPr>
          <w:rFonts w:hint="eastAsia" w:ascii="宋体" w:hAnsi="宋体" w:cs="宋体"/>
          <w:szCs w:val="21"/>
          <w:highlight w:val="none"/>
        </w:rPr>
        <w:t>注：未通过资格性审查的供应商，不进入后续磋商。</w:t>
      </w:r>
    </w:p>
    <w:p>
      <w:pPr>
        <w:pStyle w:val="4"/>
        <w:spacing w:line="360" w:lineRule="auto"/>
        <w:ind w:firstLine="0"/>
        <w:rPr>
          <w:rFonts w:ascii="宋体" w:hAnsi="宋体" w:cs="宋体"/>
          <w:szCs w:val="21"/>
          <w:highlight w:val="none"/>
        </w:rPr>
      </w:pPr>
    </w:p>
    <w:p>
      <w:pPr>
        <w:pStyle w:val="4"/>
        <w:spacing w:line="360" w:lineRule="auto"/>
        <w:ind w:firstLine="0"/>
        <w:rPr>
          <w:rFonts w:ascii="宋体" w:hAnsi="宋体" w:cs="宋体"/>
          <w:b/>
          <w:bCs/>
          <w:szCs w:val="21"/>
          <w:highlight w:val="none"/>
        </w:rPr>
      </w:pPr>
      <w:r>
        <w:rPr>
          <w:rFonts w:hint="eastAsia" w:ascii="宋体" w:hAnsi="宋体" w:cs="宋体"/>
          <w:b/>
          <w:bCs/>
          <w:szCs w:val="21"/>
          <w:highlight w:val="none"/>
        </w:rPr>
        <w:br w:type="page"/>
      </w:r>
      <w:r>
        <w:rPr>
          <w:rFonts w:hint="eastAsia" w:ascii="宋体" w:hAnsi="宋体" w:cs="宋体"/>
          <w:b/>
          <w:bCs/>
          <w:szCs w:val="21"/>
          <w:highlight w:val="none"/>
        </w:rPr>
        <w:t>附表二：</w:t>
      </w:r>
    </w:p>
    <w:p>
      <w:pPr>
        <w:pStyle w:val="4"/>
        <w:spacing w:line="360" w:lineRule="auto"/>
        <w:ind w:firstLine="0"/>
        <w:rPr>
          <w:rFonts w:ascii="宋体" w:hAnsi="宋体" w:cs="宋体"/>
          <w:szCs w:val="21"/>
          <w:highlight w:val="none"/>
        </w:rPr>
      </w:pPr>
    </w:p>
    <w:p>
      <w:pPr>
        <w:tabs>
          <w:tab w:val="left" w:pos="720"/>
          <w:tab w:val="left" w:pos="1080"/>
        </w:tabs>
        <w:spacing w:line="360" w:lineRule="auto"/>
        <w:ind w:left="840"/>
        <w:jc w:val="center"/>
        <w:rPr>
          <w:rFonts w:ascii="宋体" w:hAnsi="宋体" w:cs="宋体"/>
          <w:b/>
          <w:sz w:val="24"/>
          <w:szCs w:val="24"/>
          <w:highlight w:val="none"/>
        </w:rPr>
      </w:pPr>
      <w:r>
        <w:rPr>
          <w:rFonts w:hint="eastAsia" w:ascii="宋体" w:hAnsi="宋体" w:cs="宋体"/>
          <w:b/>
          <w:sz w:val="24"/>
          <w:szCs w:val="24"/>
          <w:highlight w:val="none"/>
        </w:rPr>
        <w:t>符合性审查表</w:t>
      </w:r>
    </w:p>
    <w:tbl>
      <w:tblPr>
        <w:tblStyle w:val="46"/>
        <w:tblW w:w="9712" w:type="dxa"/>
        <w:jc w:val="center"/>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851"/>
        <w:gridCol w:w="8861"/>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368" w:hRule="atLeast"/>
          <w:tblHeader/>
          <w:jc w:val="center"/>
        </w:trPr>
        <w:tc>
          <w:tcPr>
            <w:tcW w:w="851"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napToGrid w:val="0"/>
              <w:jc w:val="center"/>
              <w:rPr>
                <w:rFonts w:ascii="宋体" w:hAnsi="宋体" w:cs="宋体"/>
                <w:highlight w:val="none"/>
              </w:rPr>
            </w:pPr>
            <w:r>
              <w:rPr>
                <w:rStyle w:val="49"/>
                <w:rFonts w:ascii="宋体" w:hAnsi="宋体"/>
                <w:highlight w:val="none"/>
              </w:rPr>
              <w:t>审查项目</w:t>
            </w:r>
          </w:p>
        </w:tc>
        <w:tc>
          <w:tcPr>
            <w:tcW w:w="8861"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napToGrid w:val="0"/>
              <w:jc w:val="center"/>
              <w:rPr>
                <w:rFonts w:ascii="宋体" w:hAnsi="宋体" w:cs="宋体"/>
                <w:highlight w:val="none"/>
              </w:rPr>
            </w:pPr>
            <w:r>
              <w:rPr>
                <w:rStyle w:val="49"/>
                <w:rFonts w:ascii="宋体" w:hAnsi="宋体"/>
                <w:highlight w:val="none"/>
              </w:rPr>
              <w:t>要求</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jc w:val="center"/>
        </w:trPr>
        <w:tc>
          <w:tcPr>
            <w:tcW w:w="851" w:type="dxa"/>
            <w:vMerge w:val="restart"/>
            <w:tcBorders>
              <w:top w:val="outset" w:color="111111" w:sz="6" w:space="0"/>
              <w:left w:val="outset" w:color="111111" w:sz="6" w:space="0"/>
              <w:right w:val="outset" w:color="111111" w:sz="6" w:space="0"/>
            </w:tcBorders>
            <w:vAlign w:val="center"/>
          </w:tcPr>
          <w:p>
            <w:pPr>
              <w:pStyle w:val="41"/>
              <w:autoSpaceDE w:val="0"/>
              <w:autoSpaceDN w:val="0"/>
              <w:adjustRightInd w:val="0"/>
              <w:snapToGrid w:val="0"/>
              <w:jc w:val="center"/>
              <w:rPr>
                <w:sz w:val="21"/>
                <w:szCs w:val="21"/>
                <w:highlight w:val="none"/>
              </w:rPr>
            </w:pPr>
            <w:r>
              <w:rPr>
                <w:sz w:val="21"/>
                <w:szCs w:val="21"/>
                <w:highlight w:val="none"/>
              </w:rPr>
              <w:t>符合性审查</w:t>
            </w:r>
          </w:p>
        </w:tc>
        <w:tc>
          <w:tcPr>
            <w:tcW w:w="8861"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highlight w:val="none"/>
              </w:rPr>
            </w:pPr>
            <w:r>
              <w:rPr>
                <w:rFonts w:hint="eastAsia" w:ascii="宋体" w:hAnsi="宋体" w:cs="宋体"/>
                <w:szCs w:val="21"/>
                <w:highlight w:val="none"/>
              </w:rPr>
              <w:t>1.供应商按照磋商文件要求交纳磋商保证金。</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jc w:val="center"/>
        </w:trPr>
        <w:tc>
          <w:tcPr>
            <w:tcW w:w="851" w:type="dxa"/>
            <w:vMerge w:val="continue"/>
            <w:tcBorders>
              <w:top w:val="outset" w:color="111111" w:sz="6" w:space="0"/>
              <w:left w:val="outset" w:color="111111" w:sz="6" w:space="0"/>
              <w:right w:val="outset" w:color="111111" w:sz="6" w:space="0"/>
            </w:tcBorders>
            <w:vAlign w:val="center"/>
          </w:tcPr>
          <w:p>
            <w:pPr>
              <w:pStyle w:val="41"/>
              <w:autoSpaceDE w:val="0"/>
              <w:autoSpaceDN w:val="0"/>
              <w:adjustRightInd w:val="0"/>
              <w:snapToGrid w:val="0"/>
              <w:jc w:val="center"/>
              <w:rPr>
                <w:sz w:val="21"/>
                <w:szCs w:val="21"/>
                <w:highlight w:val="none"/>
              </w:rPr>
            </w:pPr>
          </w:p>
        </w:tc>
        <w:tc>
          <w:tcPr>
            <w:tcW w:w="8861"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highlight w:val="none"/>
              </w:rPr>
            </w:pPr>
            <w:r>
              <w:rPr>
                <w:rFonts w:hint="eastAsia" w:ascii="宋体" w:hAnsi="宋体" w:cs="宋体"/>
                <w:highlight w:val="none"/>
              </w:rPr>
              <w:t>2. 响应文件完整且编排有序，无重大错漏，并按要求签署、盖章。</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jc w:val="center"/>
        </w:trPr>
        <w:tc>
          <w:tcPr>
            <w:tcW w:w="851" w:type="dxa"/>
            <w:vMerge w:val="continue"/>
            <w:tcBorders>
              <w:left w:val="outset" w:color="111111" w:sz="6" w:space="0"/>
              <w:right w:val="outset" w:color="111111" w:sz="6" w:space="0"/>
            </w:tcBorders>
            <w:vAlign w:val="center"/>
          </w:tcPr>
          <w:p>
            <w:pPr>
              <w:autoSpaceDE w:val="0"/>
              <w:autoSpaceDN w:val="0"/>
              <w:adjustRightInd w:val="0"/>
              <w:snapToGrid w:val="0"/>
              <w:rPr>
                <w:rFonts w:ascii="宋体" w:hAnsi="宋体" w:cs="宋体"/>
                <w:highlight w:val="none"/>
              </w:rPr>
            </w:pPr>
          </w:p>
        </w:tc>
        <w:tc>
          <w:tcPr>
            <w:tcW w:w="8861"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highlight w:val="none"/>
              </w:rPr>
            </w:pPr>
            <w:r>
              <w:rPr>
                <w:rFonts w:hint="eastAsia" w:ascii="宋体" w:hAnsi="宋体" w:cs="宋体"/>
                <w:highlight w:val="none"/>
              </w:rPr>
              <w:t>3. 法定代表人/负责人资格证明书及授权委托书，按对应格式文件签署、盖章(原件)。</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jc w:val="center"/>
        </w:trPr>
        <w:tc>
          <w:tcPr>
            <w:tcW w:w="851" w:type="dxa"/>
            <w:vMerge w:val="continue"/>
            <w:tcBorders>
              <w:left w:val="outset" w:color="111111" w:sz="6" w:space="0"/>
              <w:right w:val="outset" w:color="111111" w:sz="6" w:space="0"/>
            </w:tcBorders>
            <w:vAlign w:val="center"/>
          </w:tcPr>
          <w:p>
            <w:pPr>
              <w:autoSpaceDE w:val="0"/>
              <w:autoSpaceDN w:val="0"/>
              <w:adjustRightInd w:val="0"/>
              <w:snapToGrid w:val="0"/>
              <w:rPr>
                <w:rFonts w:ascii="宋体" w:hAnsi="宋体" w:cs="宋体"/>
                <w:highlight w:val="none"/>
              </w:rPr>
            </w:pPr>
          </w:p>
        </w:tc>
        <w:tc>
          <w:tcPr>
            <w:tcW w:w="8861"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highlight w:val="none"/>
              </w:rPr>
            </w:pPr>
            <w:r>
              <w:rPr>
                <w:rFonts w:hint="eastAsia" w:ascii="宋体" w:hAnsi="宋体" w:cs="宋体"/>
                <w:highlight w:val="none"/>
              </w:rPr>
              <w:t xml:space="preserve">4. </w:t>
            </w:r>
            <w:r>
              <w:rPr>
                <w:rFonts w:hint="eastAsia" w:ascii="宋体" w:hAnsi="宋体" w:cs="宋体"/>
                <w:highlight w:val="none"/>
                <w:lang w:val="en-US" w:eastAsia="zh-CN"/>
              </w:rPr>
              <w:t>投标</w:t>
            </w:r>
            <w:r>
              <w:rPr>
                <w:rFonts w:hint="eastAsia" w:ascii="宋体" w:hAnsi="宋体" w:cs="宋体"/>
                <w:highlight w:val="none"/>
              </w:rPr>
              <w:t>有效期满足磋商文件要求。</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jc w:val="center"/>
        </w:trPr>
        <w:tc>
          <w:tcPr>
            <w:tcW w:w="851" w:type="dxa"/>
            <w:vMerge w:val="continue"/>
            <w:tcBorders>
              <w:left w:val="outset" w:color="111111" w:sz="6" w:space="0"/>
              <w:right w:val="outset" w:color="111111" w:sz="6" w:space="0"/>
            </w:tcBorders>
            <w:vAlign w:val="center"/>
          </w:tcPr>
          <w:p>
            <w:pPr>
              <w:autoSpaceDE w:val="0"/>
              <w:autoSpaceDN w:val="0"/>
              <w:adjustRightInd w:val="0"/>
              <w:snapToGrid w:val="0"/>
              <w:rPr>
                <w:rFonts w:ascii="宋体" w:hAnsi="宋体" w:cs="宋体"/>
                <w:highlight w:val="none"/>
              </w:rPr>
            </w:pPr>
          </w:p>
        </w:tc>
        <w:tc>
          <w:tcPr>
            <w:tcW w:w="8861"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highlight w:val="none"/>
              </w:rPr>
            </w:pPr>
            <w:r>
              <w:rPr>
                <w:rFonts w:hint="eastAsia" w:ascii="宋体" w:hAnsi="宋体" w:cs="宋体"/>
                <w:szCs w:val="21"/>
                <w:highlight w:val="none"/>
              </w:rPr>
              <w:t>5.响应文件完全满足磋商文件中加注“★”号的条款或指标。</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jc w:val="center"/>
        </w:trPr>
        <w:tc>
          <w:tcPr>
            <w:tcW w:w="851" w:type="dxa"/>
            <w:vMerge w:val="continue"/>
            <w:tcBorders>
              <w:left w:val="outset" w:color="111111" w:sz="6" w:space="0"/>
              <w:right w:val="outset" w:color="111111" w:sz="6" w:space="0"/>
            </w:tcBorders>
            <w:vAlign w:val="center"/>
          </w:tcPr>
          <w:p>
            <w:pPr>
              <w:autoSpaceDE w:val="0"/>
              <w:autoSpaceDN w:val="0"/>
              <w:adjustRightInd w:val="0"/>
              <w:snapToGrid w:val="0"/>
              <w:rPr>
                <w:rFonts w:ascii="宋体" w:hAnsi="宋体" w:cs="宋体"/>
                <w:highlight w:val="none"/>
              </w:rPr>
            </w:pPr>
          </w:p>
        </w:tc>
        <w:tc>
          <w:tcPr>
            <w:tcW w:w="8861" w:type="dxa"/>
            <w:tcBorders>
              <w:top w:val="outset" w:color="111111" w:sz="6" w:space="0"/>
              <w:left w:val="outset" w:color="111111" w:sz="6" w:space="0"/>
              <w:bottom w:val="outset" w:color="111111" w:sz="6" w:space="0"/>
              <w:right w:val="outset" w:color="111111" w:sz="6" w:space="0"/>
            </w:tcBorders>
            <w:vAlign w:val="center"/>
          </w:tcPr>
          <w:p>
            <w:pPr>
              <w:rPr>
                <w:rFonts w:ascii="宋体" w:hAnsi="宋体"/>
                <w:highlight w:val="none"/>
              </w:rPr>
            </w:pPr>
            <w:r>
              <w:rPr>
                <w:rFonts w:hint="eastAsia" w:ascii="宋体" w:hAnsi="宋体" w:cs="宋体"/>
                <w:szCs w:val="21"/>
                <w:highlight w:val="none"/>
              </w:rPr>
              <w:t>6.评审期间，供应商按照磋商小组的要求提交经授权代表签字的澄清、说明、补正或没有改变响应文件的实质性内容。</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jc w:val="center"/>
        </w:trPr>
        <w:tc>
          <w:tcPr>
            <w:tcW w:w="851" w:type="dxa"/>
            <w:vMerge w:val="continue"/>
            <w:tcBorders>
              <w:left w:val="outset" w:color="111111" w:sz="6" w:space="0"/>
              <w:right w:val="outset" w:color="111111" w:sz="6" w:space="0"/>
            </w:tcBorders>
            <w:vAlign w:val="center"/>
          </w:tcPr>
          <w:p>
            <w:pPr>
              <w:autoSpaceDE w:val="0"/>
              <w:autoSpaceDN w:val="0"/>
              <w:adjustRightInd w:val="0"/>
              <w:snapToGrid w:val="0"/>
              <w:rPr>
                <w:rFonts w:ascii="宋体" w:hAnsi="宋体" w:cs="宋体"/>
                <w:highlight w:val="none"/>
              </w:rPr>
            </w:pPr>
          </w:p>
        </w:tc>
        <w:tc>
          <w:tcPr>
            <w:tcW w:w="8861"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highlight w:val="none"/>
              </w:rPr>
            </w:pPr>
            <w:r>
              <w:rPr>
                <w:rFonts w:hint="eastAsia" w:ascii="宋体" w:hAnsi="宋体" w:cs="宋体"/>
                <w:szCs w:val="21"/>
                <w:highlight w:val="none"/>
              </w:rPr>
              <w:t>7.不属于法律、法规、规章规定无效响应的其他情形。</w:t>
            </w:r>
          </w:p>
        </w:tc>
      </w:tr>
    </w:tbl>
    <w:p>
      <w:pPr>
        <w:pStyle w:val="4"/>
        <w:spacing w:line="360" w:lineRule="auto"/>
        <w:ind w:firstLine="0"/>
        <w:rPr>
          <w:rFonts w:ascii="宋体" w:hAnsi="宋体" w:cs="宋体"/>
          <w:szCs w:val="21"/>
          <w:highlight w:val="none"/>
        </w:rPr>
      </w:pPr>
    </w:p>
    <w:p>
      <w:pPr>
        <w:pStyle w:val="4"/>
        <w:spacing w:line="360" w:lineRule="auto"/>
        <w:ind w:firstLine="0"/>
        <w:rPr>
          <w:rFonts w:ascii="宋体" w:hAnsi="宋体" w:cs="宋体"/>
          <w:szCs w:val="21"/>
          <w:highlight w:val="none"/>
        </w:rPr>
      </w:pPr>
    </w:p>
    <w:p>
      <w:pPr>
        <w:pStyle w:val="4"/>
        <w:spacing w:line="360" w:lineRule="auto"/>
        <w:ind w:firstLine="0"/>
        <w:rPr>
          <w:rFonts w:ascii="宋体" w:hAnsi="宋体" w:cs="宋体"/>
          <w:b/>
          <w:bCs/>
          <w:szCs w:val="21"/>
          <w:highlight w:val="none"/>
        </w:rPr>
      </w:pPr>
      <w:r>
        <w:rPr>
          <w:rFonts w:hint="eastAsia" w:ascii="宋体" w:hAnsi="宋体" w:cs="宋体"/>
          <w:b/>
          <w:bCs/>
          <w:szCs w:val="21"/>
          <w:highlight w:val="none"/>
        </w:rPr>
        <w:br w:type="page"/>
      </w:r>
      <w:r>
        <w:rPr>
          <w:rFonts w:hint="eastAsia" w:ascii="宋体" w:hAnsi="宋体" w:cs="宋体"/>
          <w:b/>
          <w:bCs/>
          <w:szCs w:val="21"/>
          <w:highlight w:val="none"/>
        </w:rPr>
        <w:t>附表三：</w:t>
      </w:r>
    </w:p>
    <w:p>
      <w:pPr>
        <w:tabs>
          <w:tab w:val="left" w:pos="0"/>
          <w:tab w:val="left" w:pos="720"/>
          <w:tab w:val="left" w:pos="1080"/>
        </w:tabs>
        <w:spacing w:line="360" w:lineRule="auto"/>
        <w:ind w:left="420"/>
        <w:jc w:val="center"/>
        <w:rPr>
          <w:rFonts w:ascii="宋体" w:hAnsi="宋体" w:cs="宋体"/>
          <w:sz w:val="24"/>
          <w:szCs w:val="24"/>
          <w:highlight w:val="none"/>
        </w:rPr>
      </w:pPr>
      <w:r>
        <w:rPr>
          <w:rFonts w:hint="eastAsia" w:ascii="宋体" w:hAnsi="宋体" w:cs="宋体"/>
          <w:b/>
          <w:sz w:val="24"/>
          <w:szCs w:val="24"/>
          <w:highlight w:val="none"/>
        </w:rPr>
        <w:t>服务评分表</w:t>
      </w:r>
    </w:p>
    <w:tbl>
      <w:tblPr>
        <w:tblStyle w:val="46"/>
        <w:tblW w:w="94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1603"/>
        <w:gridCol w:w="841"/>
        <w:gridCol w:w="6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blHeader/>
          <w:jc w:val="center"/>
        </w:trPr>
        <w:tc>
          <w:tcPr>
            <w:tcW w:w="488" w:type="dxa"/>
            <w:tcBorders>
              <w:top w:val="single" w:color="auto" w:sz="4" w:space="0"/>
              <w:left w:val="single" w:color="auto" w:sz="4" w:space="0"/>
              <w:bottom w:val="single" w:color="auto" w:sz="4" w:space="0"/>
              <w:right w:val="single" w:color="auto" w:sz="4" w:space="0"/>
            </w:tcBorders>
            <w:vAlign w:val="center"/>
          </w:tcPr>
          <w:p>
            <w:pPr>
              <w:pStyle w:val="146"/>
              <w:keepNext w:val="0"/>
              <w:keepLines w:val="0"/>
              <w:widowControl w:val="0"/>
              <w:spacing w:before="0" w:after="0" w:line="240" w:lineRule="auto"/>
              <w:rPr>
                <w:rFonts w:ascii="宋体" w:hAnsi="宋体" w:eastAsia="宋体"/>
                <w:b/>
                <w:kern w:val="2"/>
                <w:szCs w:val="21"/>
                <w:highlight w:val="none"/>
              </w:rPr>
            </w:pPr>
            <w:r>
              <w:rPr>
                <w:rFonts w:hint="eastAsia" w:ascii="宋体" w:hAnsi="宋体" w:eastAsia="宋体"/>
                <w:b/>
                <w:kern w:val="2"/>
                <w:szCs w:val="21"/>
                <w:highlight w:val="none"/>
              </w:rPr>
              <w:t>序号</w:t>
            </w:r>
          </w:p>
        </w:tc>
        <w:tc>
          <w:tcPr>
            <w:tcW w:w="1603" w:type="dxa"/>
            <w:tcBorders>
              <w:top w:val="single" w:color="auto" w:sz="4" w:space="0"/>
              <w:left w:val="single" w:color="auto" w:sz="4" w:space="0"/>
              <w:bottom w:val="single" w:color="auto" w:sz="4" w:space="0"/>
              <w:right w:val="single" w:color="auto" w:sz="4" w:space="0"/>
            </w:tcBorders>
            <w:vAlign w:val="center"/>
          </w:tcPr>
          <w:p>
            <w:pPr>
              <w:pStyle w:val="146"/>
              <w:keepNext w:val="0"/>
              <w:keepLines w:val="0"/>
              <w:widowControl w:val="0"/>
              <w:spacing w:before="0" w:after="0" w:line="240" w:lineRule="auto"/>
              <w:rPr>
                <w:rFonts w:ascii="宋体" w:hAnsi="宋体" w:eastAsia="宋体"/>
                <w:b/>
                <w:kern w:val="2"/>
                <w:szCs w:val="21"/>
                <w:highlight w:val="none"/>
              </w:rPr>
            </w:pPr>
            <w:r>
              <w:rPr>
                <w:rFonts w:hint="eastAsia" w:ascii="宋体" w:hAnsi="宋体" w:eastAsia="宋体"/>
                <w:b/>
                <w:kern w:val="2"/>
                <w:szCs w:val="21"/>
                <w:highlight w:val="none"/>
              </w:rPr>
              <w:t>评审内容</w:t>
            </w:r>
          </w:p>
        </w:tc>
        <w:tc>
          <w:tcPr>
            <w:tcW w:w="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highlight w:val="none"/>
              </w:rPr>
            </w:pPr>
            <w:r>
              <w:rPr>
                <w:rFonts w:hint="eastAsia" w:ascii="宋体" w:hAnsi="宋体"/>
                <w:b/>
                <w:szCs w:val="21"/>
                <w:highlight w:val="none"/>
              </w:rPr>
              <w:t>分值</w:t>
            </w:r>
          </w:p>
        </w:tc>
        <w:tc>
          <w:tcPr>
            <w:tcW w:w="6488" w:type="dxa"/>
            <w:tcBorders>
              <w:top w:val="single" w:color="auto" w:sz="4" w:space="0"/>
              <w:left w:val="single" w:color="auto" w:sz="4" w:space="0"/>
              <w:bottom w:val="single" w:color="auto" w:sz="4" w:space="0"/>
              <w:right w:val="single" w:color="auto" w:sz="4" w:space="0"/>
            </w:tcBorders>
            <w:vAlign w:val="center"/>
          </w:tcPr>
          <w:p>
            <w:pPr>
              <w:pStyle w:val="146"/>
              <w:keepNext w:val="0"/>
              <w:keepLines w:val="0"/>
              <w:widowControl w:val="0"/>
              <w:spacing w:before="0" w:after="0" w:line="240" w:lineRule="auto"/>
              <w:rPr>
                <w:rFonts w:ascii="宋体" w:hAnsi="宋体" w:eastAsia="宋体"/>
                <w:b/>
                <w:kern w:val="2"/>
                <w:szCs w:val="21"/>
                <w:highlight w:val="none"/>
              </w:rPr>
            </w:pPr>
            <w:r>
              <w:rPr>
                <w:rFonts w:hint="eastAsia" w:ascii="宋体" w:hAnsi="宋体" w:eastAsia="宋体"/>
                <w:b/>
                <w:kern w:val="2"/>
                <w:szCs w:val="21"/>
                <w:highlight w:val="none"/>
              </w:rPr>
              <w:t>评分细则及标准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7" w:hRule="atLeast"/>
          <w:jc w:val="center"/>
        </w:trPr>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highlight w:val="none"/>
              </w:rPr>
            </w:pPr>
            <w:r>
              <w:rPr>
                <w:rFonts w:hint="eastAsia" w:ascii="宋体" w:hAnsi="宋体"/>
                <w:szCs w:val="21"/>
                <w:highlight w:val="none"/>
              </w:rPr>
              <w:t>1</w:t>
            </w:r>
          </w:p>
        </w:tc>
        <w:tc>
          <w:tcPr>
            <w:tcW w:w="160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60"/>
              <w:jc w:val="center"/>
              <w:rPr>
                <w:rFonts w:ascii="宋体" w:hAnsi="宋体"/>
                <w:szCs w:val="21"/>
                <w:highlight w:val="none"/>
              </w:rPr>
            </w:pPr>
            <w:r>
              <w:rPr>
                <w:rFonts w:hint="eastAsia" w:ascii="宋体" w:hAnsi="宋体"/>
                <w:szCs w:val="21"/>
                <w:highlight w:val="none"/>
              </w:rPr>
              <w:t>对采购人需求的响应情况</w:t>
            </w:r>
          </w:p>
        </w:tc>
        <w:tc>
          <w:tcPr>
            <w:tcW w:w="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highlight w:val="none"/>
              </w:rPr>
            </w:pPr>
            <w:r>
              <w:rPr>
                <w:rFonts w:hint="eastAsia" w:ascii="宋体" w:hAnsi="宋体"/>
                <w:szCs w:val="21"/>
                <w:highlight w:val="none"/>
              </w:rPr>
              <w:t>20分</w:t>
            </w:r>
          </w:p>
        </w:tc>
        <w:tc>
          <w:tcPr>
            <w:tcW w:w="648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完全满足或优于采购人需求，得20分。</w:t>
            </w:r>
          </w:p>
          <w:p>
            <w:pPr>
              <w:rPr>
                <w:rFonts w:ascii="宋体" w:hAnsi="宋体"/>
                <w:szCs w:val="21"/>
                <w:highlight w:val="none"/>
              </w:rPr>
            </w:pPr>
            <w:r>
              <w:rPr>
                <w:rFonts w:hint="eastAsia" w:ascii="宋体" w:hAnsi="宋体"/>
                <w:szCs w:val="21"/>
                <w:highlight w:val="none"/>
              </w:rPr>
              <w:t>有一项“▲”要求不满足的扣2分，其他要求不满足的扣1分，扣完为止。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jc w:val="center"/>
        </w:trPr>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highlight w:val="none"/>
              </w:rPr>
            </w:pPr>
            <w:r>
              <w:rPr>
                <w:rFonts w:hint="eastAsia" w:ascii="宋体" w:hAnsi="宋体"/>
                <w:szCs w:val="21"/>
                <w:highlight w:val="none"/>
              </w:rPr>
              <w:t>2</w:t>
            </w:r>
          </w:p>
        </w:tc>
        <w:tc>
          <w:tcPr>
            <w:tcW w:w="160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60"/>
              <w:jc w:val="center"/>
              <w:rPr>
                <w:rFonts w:ascii="宋体" w:hAnsi="宋体"/>
                <w:szCs w:val="21"/>
                <w:highlight w:val="none"/>
              </w:rPr>
            </w:pPr>
            <w:r>
              <w:rPr>
                <w:rFonts w:hint="eastAsia" w:ascii="宋体" w:hAnsi="宋体"/>
                <w:szCs w:val="21"/>
                <w:highlight w:val="none"/>
              </w:rPr>
              <w:t>服务计划与实施方案</w:t>
            </w:r>
          </w:p>
        </w:tc>
        <w:tc>
          <w:tcPr>
            <w:tcW w:w="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Unicode MS"/>
                <w:szCs w:val="21"/>
                <w:highlight w:val="none"/>
              </w:rPr>
            </w:pPr>
            <w:r>
              <w:rPr>
                <w:rFonts w:hint="eastAsia" w:ascii="宋体" w:hAnsi="宋体"/>
                <w:szCs w:val="21"/>
                <w:highlight w:val="none"/>
              </w:rPr>
              <w:t>20分</w:t>
            </w:r>
          </w:p>
        </w:tc>
        <w:tc>
          <w:tcPr>
            <w:tcW w:w="648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项目实施方案（包括人员投入、进度安排、供货方案、验收方案等），评价服务计划与方案的针对性、合理性、可行性及全面性，是否考虑了采购人的特色。</w:t>
            </w:r>
          </w:p>
          <w:p>
            <w:pPr>
              <w:rPr>
                <w:rFonts w:ascii="宋体" w:hAnsi="宋体"/>
                <w:szCs w:val="21"/>
                <w:highlight w:val="none"/>
              </w:rPr>
            </w:pPr>
            <w:r>
              <w:rPr>
                <w:rFonts w:hint="eastAsia" w:ascii="宋体" w:hAnsi="宋体"/>
                <w:szCs w:val="21"/>
                <w:highlight w:val="none"/>
              </w:rPr>
              <w:t>（1）方案具体、详细、合理，有利于项目实施。对比评价为优：20分；</w:t>
            </w:r>
          </w:p>
          <w:p>
            <w:pPr>
              <w:rPr>
                <w:rFonts w:ascii="宋体" w:hAnsi="宋体"/>
                <w:szCs w:val="21"/>
                <w:highlight w:val="none"/>
              </w:rPr>
            </w:pPr>
            <w:r>
              <w:rPr>
                <w:rFonts w:hint="eastAsia" w:ascii="宋体" w:hAnsi="宋体"/>
                <w:szCs w:val="21"/>
                <w:highlight w:val="none"/>
              </w:rPr>
              <w:t>（2）方案较为具体、可行，对比评价为良：15分；</w:t>
            </w:r>
          </w:p>
          <w:p>
            <w:pPr>
              <w:rPr>
                <w:rFonts w:ascii="宋体" w:hAnsi="宋体"/>
                <w:szCs w:val="21"/>
                <w:highlight w:val="none"/>
              </w:rPr>
            </w:pPr>
            <w:r>
              <w:rPr>
                <w:rFonts w:hint="eastAsia" w:ascii="宋体" w:hAnsi="宋体"/>
                <w:szCs w:val="21"/>
                <w:highlight w:val="none"/>
              </w:rPr>
              <w:t>（3）方案较为具体，对比评价为一般：10分；</w:t>
            </w:r>
          </w:p>
          <w:p>
            <w:pPr>
              <w:rPr>
                <w:rFonts w:ascii="宋体" w:hAnsi="宋体"/>
                <w:kern w:val="2"/>
                <w:szCs w:val="21"/>
                <w:highlight w:val="none"/>
              </w:rPr>
            </w:pPr>
            <w:r>
              <w:rPr>
                <w:rFonts w:hint="eastAsia" w:ascii="宋体" w:hAnsi="宋体"/>
                <w:szCs w:val="21"/>
                <w:highlight w:val="none"/>
              </w:rPr>
              <w:t>（4）方案不具体，不具操作性，对比评价为差：5分。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4" w:hRule="atLeast"/>
          <w:jc w:val="center"/>
        </w:trPr>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highlight w:val="none"/>
              </w:rPr>
            </w:pPr>
            <w:r>
              <w:rPr>
                <w:rFonts w:hint="eastAsia" w:ascii="宋体" w:hAnsi="宋体"/>
                <w:szCs w:val="21"/>
                <w:highlight w:val="none"/>
              </w:rPr>
              <w:t>3</w:t>
            </w:r>
          </w:p>
        </w:tc>
        <w:tc>
          <w:tcPr>
            <w:tcW w:w="160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60"/>
              <w:jc w:val="center"/>
              <w:rPr>
                <w:rFonts w:ascii="宋体" w:hAnsi="宋体"/>
                <w:kern w:val="2"/>
                <w:szCs w:val="21"/>
                <w:highlight w:val="none"/>
              </w:rPr>
            </w:pPr>
            <w:r>
              <w:rPr>
                <w:rFonts w:hint="eastAsia" w:ascii="宋体" w:hAnsi="宋体"/>
                <w:szCs w:val="21"/>
                <w:highlight w:val="none"/>
              </w:rPr>
              <w:t>产品配送组织计划</w:t>
            </w:r>
          </w:p>
        </w:tc>
        <w:tc>
          <w:tcPr>
            <w:tcW w:w="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Unicode MS"/>
                <w:szCs w:val="21"/>
                <w:highlight w:val="none"/>
              </w:rPr>
            </w:pPr>
            <w:r>
              <w:rPr>
                <w:rFonts w:hint="eastAsia" w:ascii="宋体" w:hAnsi="宋体" w:cs="Arial Unicode MS"/>
                <w:szCs w:val="21"/>
                <w:highlight w:val="none"/>
              </w:rPr>
              <w:t>10分</w:t>
            </w:r>
          </w:p>
        </w:tc>
        <w:tc>
          <w:tcPr>
            <w:tcW w:w="648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（1）产品配送组织计划和产品配送方案合理、可行（订单响应时间、配送时间），有专门运输和仓储能力，为优：5分；</w:t>
            </w:r>
          </w:p>
          <w:p>
            <w:pPr>
              <w:rPr>
                <w:rFonts w:ascii="宋体" w:hAnsi="宋体"/>
                <w:szCs w:val="21"/>
                <w:highlight w:val="none"/>
              </w:rPr>
            </w:pPr>
            <w:r>
              <w:rPr>
                <w:rFonts w:hint="eastAsia" w:ascii="宋体" w:hAnsi="宋体"/>
                <w:szCs w:val="21"/>
                <w:highlight w:val="none"/>
              </w:rPr>
              <w:t>（2）配送计划和方案较为合理、可行，有专门运输或仓储能力（有其一）：3分；</w:t>
            </w:r>
          </w:p>
          <w:p>
            <w:pPr>
              <w:rPr>
                <w:rFonts w:ascii="宋体" w:hAnsi="宋体"/>
                <w:szCs w:val="21"/>
                <w:highlight w:val="none"/>
              </w:rPr>
            </w:pPr>
            <w:r>
              <w:rPr>
                <w:rFonts w:hint="eastAsia" w:ascii="宋体" w:hAnsi="宋体"/>
                <w:szCs w:val="21"/>
                <w:highlight w:val="none"/>
              </w:rPr>
              <w:t>（3）配送计划和方案基本可行，不具备专门运输能力1分；</w:t>
            </w:r>
          </w:p>
          <w:p>
            <w:pPr>
              <w:rPr>
                <w:rFonts w:ascii="宋体" w:hAnsi="宋体"/>
                <w:szCs w:val="21"/>
                <w:highlight w:val="none"/>
              </w:rPr>
            </w:pPr>
            <w:r>
              <w:rPr>
                <w:rFonts w:hint="eastAsia" w:ascii="宋体" w:hAnsi="宋体"/>
                <w:szCs w:val="21"/>
                <w:highlight w:val="none"/>
              </w:rPr>
              <w:t>（4）配送计划方案不可行、不合理，不具备运输配送和仓储能力：0分。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4" w:hRule="atLeast"/>
          <w:jc w:val="center"/>
        </w:trPr>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highlight w:val="none"/>
              </w:rPr>
            </w:pPr>
            <w:r>
              <w:rPr>
                <w:rFonts w:hint="eastAsia" w:ascii="宋体" w:hAnsi="宋体"/>
                <w:szCs w:val="21"/>
                <w:highlight w:val="none"/>
              </w:rPr>
              <w:t>4</w:t>
            </w:r>
          </w:p>
        </w:tc>
        <w:tc>
          <w:tcPr>
            <w:tcW w:w="160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60"/>
              <w:jc w:val="center"/>
              <w:rPr>
                <w:rFonts w:ascii="宋体" w:hAnsi="宋体"/>
                <w:szCs w:val="21"/>
                <w:highlight w:val="none"/>
              </w:rPr>
            </w:pPr>
            <w:r>
              <w:rPr>
                <w:rFonts w:hint="eastAsia" w:ascii="宋体" w:hAnsi="宋体"/>
                <w:szCs w:val="21"/>
                <w:highlight w:val="none"/>
              </w:rPr>
              <w:t>售后服务</w:t>
            </w:r>
          </w:p>
        </w:tc>
        <w:tc>
          <w:tcPr>
            <w:tcW w:w="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Unicode MS"/>
                <w:szCs w:val="21"/>
                <w:highlight w:val="none"/>
              </w:rPr>
            </w:pPr>
            <w:r>
              <w:rPr>
                <w:rFonts w:hint="eastAsia" w:ascii="宋体" w:hAnsi="宋体" w:cs="Arial Unicode MS"/>
                <w:szCs w:val="21"/>
                <w:highlight w:val="none"/>
              </w:rPr>
              <w:t>10分</w:t>
            </w:r>
          </w:p>
        </w:tc>
        <w:tc>
          <w:tcPr>
            <w:tcW w:w="648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供应商</w:t>
            </w:r>
            <w:r>
              <w:rPr>
                <w:rFonts w:hint="eastAsia" w:ascii="宋体" w:hAnsi="宋体"/>
                <w:szCs w:val="21"/>
                <w:highlight w:val="none"/>
              </w:rPr>
              <w:t>针对本项目的售后服务方案、承诺（质保期、响应时间、服务内容等）内容全面、具体、合理，对比综合评价为优：10分；</w:t>
            </w:r>
          </w:p>
          <w:p>
            <w:pPr>
              <w:rPr>
                <w:rFonts w:ascii="宋体" w:hAnsi="宋体"/>
                <w:szCs w:val="21"/>
                <w:highlight w:val="none"/>
              </w:rPr>
            </w:pPr>
            <w:r>
              <w:rPr>
                <w:rFonts w:hint="eastAsia" w:ascii="宋体" w:hAnsi="宋体"/>
                <w:szCs w:val="21"/>
                <w:highlight w:val="none"/>
              </w:rPr>
              <w:t>（2）售后服务方案、承诺内容较为齐全、具体、可行，对比综合评价为良：6分；</w:t>
            </w:r>
          </w:p>
          <w:p>
            <w:pPr>
              <w:rPr>
                <w:rFonts w:ascii="宋体" w:hAnsi="宋体"/>
                <w:szCs w:val="21"/>
                <w:highlight w:val="none"/>
              </w:rPr>
            </w:pPr>
            <w:r>
              <w:rPr>
                <w:rFonts w:hint="eastAsia" w:ascii="宋体" w:hAnsi="宋体"/>
                <w:szCs w:val="21"/>
                <w:highlight w:val="none"/>
              </w:rPr>
              <w:t>（3）售后服务方案、承诺内容基本齐全、可行，对比综合评价为一般：2分；</w:t>
            </w:r>
          </w:p>
          <w:p>
            <w:pPr>
              <w:rPr>
                <w:rFonts w:ascii="宋体" w:hAnsi="宋体"/>
                <w:szCs w:val="21"/>
                <w:highlight w:val="none"/>
              </w:rPr>
            </w:pPr>
            <w:r>
              <w:rPr>
                <w:rFonts w:hint="eastAsia" w:ascii="宋体" w:hAnsi="宋体"/>
                <w:szCs w:val="21"/>
                <w:highlight w:val="none"/>
              </w:rPr>
              <w:t>（4）售后服务方案、承诺内容不齐全、不具体，没有操作性，对比综合评价为差：0分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4" w:hRule="atLeast"/>
          <w:jc w:val="center"/>
        </w:trPr>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highlight w:val="none"/>
              </w:rPr>
            </w:pPr>
            <w:r>
              <w:rPr>
                <w:rFonts w:hint="eastAsia" w:ascii="宋体" w:hAnsi="宋体"/>
                <w:szCs w:val="21"/>
                <w:highlight w:val="none"/>
              </w:rPr>
              <w:t>5</w:t>
            </w:r>
          </w:p>
        </w:tc>
        <w:tc>
          <w:tcPr>
            <w:tcW w:w="160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60"/>
              <w:jc w:val="center"/>
              <w:rPr>
                <w:rFonts w:ascii="宋体" w:hAnsi="宋体"/>
                <w:szCs w:val="21"/>
                <w:highlight w:val="none"/>
              </w:rPr>
            </w:pPr>
            <w:r>
              <w:rPr>
                <w:rFonts w:hint="eastAsia" w:ascii="宋体" w:hAnsi="宋体"/>
                <w:szCs w:val="21"/>
                <w:highlight w:val="none"/>
              </w:rPr>
              <w:t>质量及安全保证</w:t>
            </w:r>
          </w:p>
        </w:tc>
        <w:tc>
          <w:tcPr>
            <w:tcW w:w="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Unicode MS"/>
                <w:szCs w:val="21"/>
                <w:highlight w:val="none"/>
              </w:rPr>
            </w:pPr>
            <w:r>
              <w:rPr>
                <w:rFonts w:hint="eastAsia" w:ascii="宋体" w:hAnsi="宋体" w:cs="Arial Unicode MS"/>
                <w:szCs w:val="21"/>
                <w:highlight w:val="none"/>
              </w:rPr>
              <w:t>10分</w:t>
            </w:r>
          </w:p>
        </w:tc>
        <w:tc>
          <w:tcPr>
            <w:tcW w:w="648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供应商</w:t>
            </w:r>
            <w:r>
              <w:rPr>
                <w:rFonts w:hint="eastAsia" w:ascii="宋体" w:hAnsi="宋体"/>
                <w:szCs w:val="21"/>
                <w:highlight w:val="none"/>
              </w:rPr>
              <w:t>产品质量及安全有保证承诺、服务保障措施完整、可行、合理为优：10分；</w:t>
            </w:r>
          </w:p>
          <w:p>
            <w:pPr>
              <w:rPr>
                <w:rFonts w:ascii="宋体" w:hAnsi="宋体"/>
                <w:szCs w:val="21"/>
                <w:highlight w:val="none"/>
              </w:rPr>
            </w:pPr>
            <w:r>
              <w:rPr>
                <w:rFonts w:hint="eastAsia" w:ascii="宋体" w:hAnsi="宋体"/>
                <w:szCs w:val="21"/>
                <w:highlight w:val="none"/>
              </w:rPr>
              <w:t>（2）产品质量及安全有保证承诺，服务保障措施可行、较为合理为良：6分；</w:t>
            </w:r>
          </w:p>
          <w:p>
            <w:pPr>
              <w:rPr>
                <w:rFonts w:ascii="宋体" w:hAnsi="宋体"/>
                <w:szCs w:val="21"/>
                <w:highlight w:val="none"/>
              </w:rPr>
            </w:pPr>
            <w:r>
              <w:rPr>
                <w:rFonts w:hint="eastAsia" w:ascii="宋体" w:hAnsi="宋体"/>
                <w:szCs w:val="21"/>
                <w:highlight w:val="none"/>
              </w:rPr>
              <w:t>（3）产品质量及安全有保证承诺，服务保障措施一般：2分；</w:t>
            </w:r>
          </w:p>
          <w:p>
            <w:pPr>
              <w:rPr>
                <w:rFonts w:ascii="宋体" w:hAnsi="宋体"/>
                <w:szCs w:val="21"/>
                <w:highlight w:val="none"/>
              </w:rPr>
            </w:pPr>
            <w:r>
              <w:rPr>
                <w:rFonts w:hint="eastAsia" w:ascii="宋体" w:hAnsi="宋体"/>
                <w:szCs w:val="21"/>
                <w:highlight w:val="none"/>
              </w:rPr>
              <w:t>（4）</w:t>
            </w:r>
            <w:r>
              <w:rPr>
                <w:rFonts w:hint="eastAsia" w:ascii="宋体" w:hAnsi="宋体"/>
                <w:szCs w:val="21"/>
                <w:highlight w:val="none"/>
                <w:lang w:eastAsia="zh-CN"/>
              </w:rPr>
              <w:t>供应商</w:t>
            </w:r>
            <w:r>
              <w:rPr>
                <w:rFonts w:hint="eastAsia" w:ascii="宋体" w:hAnsi="宋体"/>
                <w:szCs w:val="21"/>
                <w:highlight w:val="none"/>
              </w:rPr>
              <w:t>没有质量及安全保证承诺，服务保障措施不可行、不合理为差：0分。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2" w:hRule="atLeast"/>
          <w:jc w:val="center"/>
        </w:trPr>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highlight w:val="none"/>
              </w:rPr>
            </w:pPr>
            <w:r>
              <w:rPr>
                <w:rFonts w:hint="eastAsia" w:ascii="宋体" w:hAnsi="宋体"/>
                <w:szCs w:val="21"/>
                <w:highlight w:val="none"/>
              </w:rPr>
              <w:t>6</w:t>
            </w:r>
          </w:p>
        </w:tc>
        <w:tc>
          <w:tcPr>
            <w:tcW w:w="160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60"/>
              <w:jc w:val="center"/>
              <w:rPr>
                <w:rFonts w:ascii="宋体" w:hAnsi="宋体"/>
                <w:szCs w:val="21"/>
                <w:highlight w:val="none"/>
              </w:rPr>
            </w:pPr>
            <w:r>
              <w:rPr>
                <w:rFonts w:hint="eastAsia" w:ascii="宋体" w:hAnsi="宋体"/>
                <w:szCs w:val="21"/>
                <w:highlight w:val="none"/>
              </w:rPr>
              <w:t>应急处理方案</w:t>
            </w:r>
          </w:p>
        </w:tc>
        <w:tc>
          <w:tcPr>
            <w:tcW w:w="8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highlight w:val="none"/>
              </w:rPr>
            </w:pPr>
            <w:r>
              <w:rPr>
                <w:rFonts w:hint="eastAsia" w:ascii="宋体" w:hAnsi="宋体"/>
                <w:szCs w:val="21"/>
                <w:highlight w:val="none"/>
              </w:rPr>
              <w:t>10分</w:t>
            </w:r>
          </w:p>
        </w:tc>
        <w:tc>
          <w:tcPr>
            <w:tcW w:w="6488" w:type="dxa"/>
            <w:tcBorders>
              <w:top w:val="single" w:color="auto" w:sz="4" w:space="0"/>
              <w:left w:val="single" w:color="auto" w:sz="4" w:space="0"/>
              <w:bottom w:val="single" w:color="auto" w:sz="4" w:space="0"/>
              <w:right w:val="single" w:color="auto" w:sz="4" w:space="0"/>
            </w:tcBorders>
            <w:vAlign w:val="center"/>
          </w:tcPr>
          <w:p>
            <w:pPr>
              <w:widowControl w:val="0"/>
              <w:jc w:val="both"/>
              <w:rPr>
                <w:rFonts w:ascii="宋体" w:hAnsi="宋体"/>
                <w:kern w:val="2"/>
                <w:szCs w:val="21"/>
                <w:highlight w:val="none"/>
              </w:rPr>
            </w:pPr>
            <w:r>
              <w:rPr>
                <w:rFonts w:hint="eastAsia" w:ascii="宋体" w:hAnsi="宋体" w:cs="宋体"/>
                <w:szCs w:val="21"/>
                <w:highlight w:val="none"/>
              </w:rPr>
              <w:t>有完善的</w:t>
            </w:r>
            <w:r>
              <w:rPr>
                <w:rFonts w:hint="eastAsia" w:ascii="宋体" w:hAnsi="宋体"/>
                <w:szCs w:val="21"/>
                <w:highlight w:val="none"/>
              </w:rPr>
              <w:t>应急处理措施</w:t>
            </w:r>
            <w:r>
              <w:rPr>
                <w:rFonts w:hint="eastAsia" w:ascii="宋体" w:hAnsi="宋体" w:cs="宋体"/>
                <w:szCs w:val="21"/>
                <w:highlight w:val="none"/>
              </w:rPr>
              <w:t>：10分；</w:t>
            </w:r>
            <w:r>
              <w:rPr>
                <w:rFonts w:hint="eastAsia" w:ascii="宋体" w:hAnsi="宋体"/>
                <w:szCs w:val="21"/>
                <w:highlight w:val="none"/>
              </w:rPr>
              <w:t>对比一般：5分；对比较差：1分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2" w:hRule="atLeast"/>
          <w:jc w:val="center"/>
        </w:trPr>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highlight w:val="none"/>
              </w:rPr>
            </w:pPr>
            <w:r>
              <w:rPr>
                <w:rFonts w:hint="eastAsia" w:ascii="宋体" w:hAnsi="宋体"/>
                <w:szCs w:val="21"/>
                <w:highlight w:val="none"/>
              </w:rPr>
              <w:t>7</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highlight w:val="none"/>
              </w:rPr>
            </w:pPr>
            <w:r>
              <w:rPr>
                <w:rFonts w:hint="eastAsia" w:ascii="宋体" w:hAnsi="宋体"/>
                <w:highlight w:val="none"/>
              </w:rPr>
              <w:t>免费增值业务</w:t>
            </w:r>
          </w:p>
        </w:tc>
        <w:tc>
          <w:tcPr>
            <w:tcW w:w="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highlight w:val="none"/>
              </w:rPr>
            </w:pPr>
            <w:r>
              <w:rPr>
                <w:rFonts w:hint="eastAsia" w:ascii="宋体" w:hAnsi="宋体" w:cs="Arial Unicode MS"/>
                <w:highlight w:val="none"/>
              </w:rPr>
              <w:t>10分</w:t>
            </w:r>
          </w:p>
        </w:tc>
        <w:tc>
          <w:tcPr>
            <w:tcW w:w="6488"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综合比较提供的免费增值服务情况（</w:t>
            </w:r>
            <w:r>
              <w:rPr>
                <w:rFonts w:hint="eastAsia" w:ascii="宋体" w:hAnsi="宋体"/>
                <w:highlight w:val="none"/>
                <w:lang w:eastAsia="zh-CN"/>
              </w:rPr>
              <w:t>供应商</w:t>
            </w:r>
            <w:r>
              <w:rPr>
                <w:rFonts w:hint="eastAsia" w:ascii="宋体" w:hAnsi="宋体"/>
                <w:highlight w:val="none"/>
              </w:rPr>
              <w:t>提供免费增值服务内容清单，加盖公章）。</w:t>
            </w:r>
          </w:p>
          <w:p>
            <w:pPr>
              <w:snapToGrid w:val="0"/>
              <w:rPr>
                <w:rFonts w:ascii="宋体" w:hAnsi="宋体" w:cs="宋体"/>
                <w:szCs w:val="21"/>
                <w:highlight w:val="none"/>
              </w:rPr>
            </w:pPr>
            <w:r>
              <w:rPr>
                <w:rFonts w:hint="eastAsia" w:ascii="宋体" w:hAnsi="宋体"/>
                <w:highlight w:val="none"/>
              </w:rPr>
              <w:t>对比最优得10分，其次以2分递减，最低得0分。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2" w:hRule="atLeast"/>
          <w:jc w:val="center"/>
        </w:trPr>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highlight w:val="none"/>
              </w:rPr>
            </w:pPr>
            <w:r>
              <w:rPr>
                <w:rFonts w:hint="eastAsia" w:ascii="宋体" w:hAnsi="宋体"/>
                <w:szCs w:val="21"/>
                <w:highlight w:val="none"/>
              </w:rPr>
              <w:t>8</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商品库商品品目</w:t>
            </w:r>
          </w:p>
        </w:tc>
        <w:tc>
          <w:tcPr>
            <w:tcW w:w="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Unicode MS"/>
                <w:highlight w:val="none"/>
              </w:rPr>
            </w:pPr>
            <w:r>
              <w:rPr>
                <w:rFonts w:hint="eastAsia" w:ascii="宋体" w:hAnsi="宋体" w:cs="Arial Unicode MS"/>
                <w:highlight w:val="none"/>
              </w:rPr>
              <w:t>10分</w:t>
            </w:r>
          </w:p>
        </w:tc>
        <w:tc>
          <w:tcPr>
            <w:tcW w:w="6488"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综合比较电商平台的商品库品目是否齐全（</w:t>
            </w:r>
            <w:r>
              <w:rPr>
                <w:rFonts w:hint="eastAsia" w:ascii="宋体" w:hAnsi="宋体"/>
                <w:highlight w:val="none"/>
                <w:lang w:eastAsia="zh-CN"/>
              </w:rPr>
              <w:t>供应商</w:t>
            </w:r>
            <w:r>
              <w:rPr>
                <w:rFonts w:hint="eastAsia" w:ascii="宋体" w:hAnsi="宋体"/>
                <w:highlight w:val="none"/>
              </w:rPr>
              <w:t>提供商品库品目清单及网站截图，加盖公章）。</w:t>
            </w:r>
          </w:p>
          <w:p>
            <w:pPr>
              <w:snapToGrid w:val="0"/>
              <w:rPr>
                <w:rFonts w:ascii="宋体" w:hAnsi="宋体"/>
                <w:highlight w:val="none"/>
              </w:rPr>
            </w:pPr>
            <w:r>
              <w:rPr>
                <w:rFonts w:hint="eastAsia" w:ascii="宋体" w:hAnsi="宋体"/>
                <w:highlight w:val="none"/>
              </w:rPr>
              <w:t>对比最优得10分，其次以2分递减，最低得0分。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1" w:hRule="atLeast"/>
          <w:jc w:val="center"/>
        </w:trPr>
        <w:tc>
          <w:tcPr>
            <w:tcW w:w="2091" w:type="dxa"/>
            <w:gridSpan w:val="2"/>
            <w:tcBorders>
              <w:top w:val="single" w:color="auto" w:sz="4" w:space="0"/>
              <w:left w:val="single" w:color="auto" w:sz="4" w:space="0"/>
              <w:bottom w:val="single" w:color="auto" w:sz="4" w:space="0"/>
              <w:right w:val="single" w:color="auto" w:sz="4" w:space="0"/>
            </w:tcBorders>
            <w:vAlign w:val="center"/>
          </w:tcPr>
          <w:p>
            <w:pPr>
              <w:pStyle w:val="146"/>
              <w:keepNext w:val="0"/>
              <w:keepLines w:val="0"/>
              <w:widowControl w:val="0"/>
              <w:spacing w:before="0" w:after="0" w:line="240" w:lineRule="auto"/>
              <w:rPr>
                <w:rFonts w:ascii="宋体" w:hAnsi="宋体" w:eastAsia="宋体"/>
                <w:kern w:val="2"/>
                <w:szCs w:val="21"/>
                <w:highlight w:val="none"/>
              </w:rPr>
            </w:pPr>
            <w:r>
              <w:rPr>
                <w:rFonts w:hint="eastAsia" w:ascii="宋体" w:hAnsi="宋体" w:eastAsia="宋体"/>
                <w:kern w:val="2"/>
                <w:szCs w:val="21"/>
                <w:highlight w:val="none"/>
              </w:rPr>
              <w:t>合计</w:t>
            </w:r>
          </w:p>
        </w:tc>
        <w:tc>
          <w:tcPr>
            <w:tcW w:w="841" w:type="dxa"/>
            <w:tcBorders>
              <w:top w:val="single" w:color="auto" w:sz="4" w:space="0"/>
              <w:left w:val="single" w:color="auto" w:sz="4" w:space="0"/>
              <w:bottom w:val="single" w:color="auto" w:sz="4" w:space="0"/>
              <w:right w:val="single" w:color="auto" w:sz="4" w:space="0"/>
            </w:tcBorders>
            <w:vAlign w:val="center"/>
          </w:tcPr>
          <w:p>
            <w:pPr>
              <w:pStyle w:val="146"/>
              <w:keepNext w:val="0"/>
              <w:keepLines w:val="0"/>
              <w:widowControl w:val="0"/>
              <w:spacing w:before="0" w:after="0" w:line="240" w:lineRule="auto"/>
              <w:rPr>
                <w:rFonts w:ascii="宋体" w:hAnsi="宋体" w:eastAsia="宋体"/>
                <w:kern w:val="2"/>
                <w:szCs w:val="21"/>
                <w:highlight w:val="none"/>
              </w:rPr>
            </w:pPr>
            <w:r>
              <w:rPr>
                <w:rFonts w:hint="eastAsia" w:ascii="宋体" w:hAnsi="宋体" w:eastAsia="宋体"/>
                <w:kern w:val="2"/>
                <w:szCs w:val="21"/>
                <w:highlight w:val="none"/>
              </w:rPr>
              <w:t>100分</w:t>
            </w:r>
          </w:p>
        </w:tc>
        <w:tc>
          <w:tcPr>
            <w:tcW w:w="6488" w:type="dxa"/>
            <w:tcBorders>
              <w:top w:val="single" w:color="auto" w:sz="4" w:space="0"/>
              <w:left w:val="single" w:color="auto" w:sz="4" w:space="0"/>
              <w:bottom w:val="single" w:color="auto" w:sz="4" w:space="0"/>
              <w:right w:val="single" w:color="auto" w:sz="4" w:space="0"/>
              <w:tr2bl w:val="single" w:color="auto" w:sz="4" w:space="0"/>
            </w:tcBorders>
          </w:tcPr>
          <w:p>
            <w:pPr>
              <w:rPr>
                <w:rFonts w:ascii="宋体" w:hAnsi="宋体"/>
                <w:szCs w:val="21"/>
                <w:highlight w:val="none"/>
              </w:rPr>
            </w:pPr>
          </w:p>
        </w:tc>
      </w:tr>
    </w:tbl>
    <w:p>
      <w:pPr>
        <w:pStyle w:val="4"/>
        <w:spacing w:line="360" w:lineRule="auto"/>
        <w:ind w:firstLine="0"/>
        <w:rPr>
          <w:rFonts w:ascii="宋体" w:hAnsi="宋体" w:cs="宋体"/>
          <w:szCs w:val="21"/>
          <w:highlight w:val="none"/>
        </w:rPr>
      </w:pPr>
    </w:p>
    <w:p>
      <w:pPr>
        <w:pStyle w:val="4"/>
        <w:spacing w:line="360" w:lineRule="auto"/>
        <w:ind w:firstLine="0"/>
        <w:rPr>
          <w:rFonts w:ascii="宋体" w:hAnsi="宋体" w:cs="宋体"/>
          <w:b/>
          <w:bCs/>
          <w:szCs w:val="21"/>
          <w:highlight w:val="none"/>
        </w:rPr>
      </w:pPr>
      <w:r>
        <w:rPr>
          <w:rFonts w:hint="eastAsia" w:ascii="宋体" w:hAnsi="宋体" w:cs="宋体"/>
          <w:b/>
          <w:bCs/>
          <w:szCs w:val="21"/>
          <w:highlight w:val="none"/>
        </w:rPr>
        <w:br w:type="page"/>
      </w:r>
      <w:r>
        <w:rPr>
          <w:rFonts w:hint="eastAsia" w:ascii="宋体" w:hAnsi="宋体" w:cs="宋体"/>
          <w:b/>
          <w:bCs/>
          <w:szCs w:val="21"/>
          <w:highlight w:val="none"/>
        </w:rPr>
        <w:t>附表四：</w:t>
      </w:r>
    </w:p>
    <w:p>
      <w:pPr>
        <w:tabs>
          <w:tab w:val="left" w:pos="0"/>
          <w:tab w:val="left" w:pos="720"/>
          <w:tab w:val="left" w:pos="1080"/>
        </w:tabs>
        <w:spacing w:line="360" w:lineRule="auto"/>
        <w:ind w:left="420"/>
        <w:jc w:val="center"/>
        <w:rPr>
          <w:rFonts w:ascii="宋体" w:hAnsi="宋体" w:cs="宋体"/>
          <w:sz w:val="24"/>
          <w:szCs w:val="24"/>
          <w:highlight w:val="none"/>
        </w:rPr>
      </w:pPr>
      <w:r>
        <w:rPr>
          <w:rFonts w:hint="eastAsia" w:ascii="宋体" w:hAnsi="宋体" w:cs="宋体"/>
          <w:b/>
          <w:sz w:val="24"/>
          <w:szCs w:val="24"/>
          <w:highlight w:val="none"/>
        </w:rPr>
        <w:t>商务评分表</w:t>
      </w:r>
    </w:p>
    <w:tbl>
      <w:tblPr>
        <w:tblStyle w:val="46"/>
        <w:tblW w:w="89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84"/>
        <w:gridCol w:w="951"/>
        <w:gridCol w:w="5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4" w:hRule="atLeast"/>
          <w:jc w:val="center"/>
        </w:trPr>
        <w:tc>
          <w:tcPr>
            <w:tcW w:w="817" w:type="dxa"/>
            <w:vAlign w:val="center"/>
          </w:tcPr>
          <w:p>
            <w:pPr>
              <w:pStyle w:val="146"/>
              <w:keepNext w:val="0"/>
              <w:keepLines w:val="0"/>
              <w:widowControl w:val="0"/>
              <w:spacing w:before="0" w:after="0" w:line="240" w:lineRule="auto"/>
              <w:textAlignment w:val="auto"/>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kern w:val="2"/>
                <w:highlight w:val="none"/>
              </w:rPr>
              <w:t>序号</w:t>
            </w:r>
          </w:p>
        </w:tc>
        <w:tc>
          <w:tcPr>
            <w:tcW w:w="1284" w:type="dxa"/>
            <w:vAlign w:val="center"/>
          </w:tcPr>
          <w:p>
            <w:pPr>
              <w:jc w:val="center"/>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highlight w:val="none"/>
              </w:rPr>
              <w:t>评审项目</w:t>
            </w:r>
          </w:p>
        </w:tc>
        <w:tc>
          <w:tcPr>
            <w:tcW w:w="951" w:type="dxa"/>
            <w:vAlign w:val="center"/>
          </w:tcPr>
          <w:p>
            <w:pPr>
              <w:jc w:val="center"/>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highlight w:val="none"/>
              </w:rPr>
              <w:t>分值</w:t>
            </w:r>
          </w:p>
        </w:tc>
        <w:tc>
          <w:tcPr>
            <w:tcW w:w="5860" w:type="dxa"/>
            <w:vAlign w:val="center"/>
          </w:tcPr>
          <w:p>
            <w:pPr>
              <w:pStyle w:val="146"/>
              <w:keepNext w:val="0"/>
              <w:keepLines w:val="0"/>
              <w:widowControl w:val="0"/>
              <w:spacing w:before="0" w:after="0" w:line="240" w:lineRule="auto"/>
              <w:textAlignment w:val="auto"/>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kern w:val="2"/>
                <w:highlight w:val="none"/>
              </w:rPr>
              <w:t>评分参考及分值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1" w:hRule="atLeast"/>
          <w:jc w:val="center"/>
        </w:trPr>
        <w:tc>
          <w:tcPr>
            <w:tcW w:w="817" w:type="dxa"/>
            <w:vAlign w:val="center"/>
          </w:tcPr>
          <w:p>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w:t>
            </w:r>
          </w:p>
        </w:tc>
        <w:tc>
          <w:tcPr>
            <w:tcW w:w="1284" w:type="dxa"/>
            <w:vAlign w:val="center"/>
          </w:tcPr>
          <w:p>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管理机制</w:t>
            </w:r>
          </w:p>
        </w:tc>
        <w:tc>
          <w:tcPr>
            <w:tcW w:w="951" w:type="dxa"/>
            <w:vAlign w:val="center"/>
          </w:tcPr>
          <w:p>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20分</w:t>
            </w:r>
          </w:p>
        </w:tc>
        <w:tc>
          <w:tcPr>
            <w:tcW w:w="5860" w:type="dxa"/>
            <w:vAlign w:val="center"/>
          </w:tcPr>
          <w:p>
            <w:pP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对</w:t>
            </w:r>
            <w:r>
              <w:rPr>
                <w:rFonts w:hint="eastAsia" w:ascii="宋体" w:hAnsi="宋体" w:cs="宋体" w:eastAsiaTheme="minorEastAsia"/>
                <w:szCs w:val="21"/>
                <w:highlight w:val="none"/>
                <w:lang w:eastAsia="zh-CN"/>
              </w:rPr>
              <w:t>供应商</w:t>
            </w:r>
            <w:r>
              <w:rPr>
                <w:rFonts w:hint="eastAsia" w:asciiTheme="minorEastAsia" w:hAnsiTheme="minorEastAsia" w:eastAsiaTheme="minorEastAsia" w:cstheme="minorEastAsia"/>
                <w:szCs w:val="21"/>
                <w:highlight w:val="none"/>
              </w:rPr>
              <w:t>内部管理机制（流程管理、人事管理、审核制度等）进行评分：</w:t>
            </w:r>
          </w:p>
          <w:p>
            <w:pP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内部管理机制最完善、最详细的得20分，其次以2分递减，最低得0分。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7" w:hRule="atLeast"/>
          <w:jc w:val="center"/>
        </w:trPr>
        <w:tc>
          <w:tcPr>
            <w:tcW w:w="817" w:type="dxa"/>
            <w:vAlign w:val="center"/>
          </w:tcPr>
          <w:p>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w:t>
            </w:r>
          </w:p>
        </w:tc>
        <w:tc>
          <w:tcPr>
            <w:tcW w:w="1284" w:type="dxa"/>
            <w:vAlign w:val="center"/>
          </w:tcPr>
          <w:p>
            <w:pPr>
              <w:snapToGrid w:val="0"/>
              <w:spacing w:line="300" w:lineRule="auto"/>
              <w:jc w:val="center"/>
              <w:rPr>
                <w:rFonts w:asciiTheme="minorEastAsia" w:hAnsiTheme="minorEastAsia" w:eastAsiaTheme="minorEastAsia" w:cstheme="minorEastAsia"/>
                <w:szCs w:val="21"/>
                <w:highlight w:val="none"/>
              </w:rPr>
            </w:pPr>
            <w:r>
              <w:rPr>
                <w:rFonts w:hint="eastAsia" w:ascii="宋体" w:hAnsi="宋体"/>
                <w:szCs w:val="21"/>
                <w:highlight w:val="none"/>
              </w:rPr>
              <w:t>企业信誉</w:t>
            </w:r>
          </w:p>
        </w:tc>
        <w:tc>
          <w:tcPr>
            <w:tcW w:w="951" w:type="dxa"/>
            <w:vAlign w:val="center"/>
          </w:tcPr>
          <w:p>
            <w:pPr>
              <w:spacing w:line="300" w:lineRule="auto"/>
              <w:jc w:val="center"/>
              <w:rPr>
                <w:rFonts w:asciiTheme="minorEastAsia" w:hAnsiTheme="minorEastAsia" w:eastAsiaTheme="minorEastAsia" w:cstheme="minorEastAsia"/>
                <w:szCs w:val="21"/>
                <w:highlight w:val="none"/>
              </w:rPr>
            </w:pPr>
            <w:r>
              <w:rPr>
                <w:rFonts w:hint="eastAsia" w:ascii="宋体" w:hAnsi="宋体"/>
                <w:szCs w:val="21"/>
                <w:highlight w:val="none"/>
              </w:rPr>
              <w:t>20分</w:t>
            </w:r>
          </w:p>
        </w:tc>
        <w:tc>
          <w:tcPr>
            <w:tcW w:w="5860" w:type="dxa"/>
            <w:vAlign w:val="center"/>
          </w:tcPr>
          <w:p>
            <w:pPr>
              <w:widowControl w:val="0"/>
              <w:spacing w:line="240" w:lineRule="atLeast"/>
              <w:jc w:val="both"/>
              <w:rPr>
                <w:rFonts w:asciiTheme="minorEastAsia" w:hAnsiTheme="minorEastAsia" w:eastAsiaTheme="minorEastAsia" w:cstheme="minorEastAsia"/>
                <w:szCs w:val="21"/>
                <w:highlight w:val="none"/>
              </w:rPr>
            </w:pPr>
            <w:r>
              <w:rPr>
                <w:rFonts w:hint="eastAsia" w:ascii="宋体" w:hAnsi="宋体" w:cs="宋体"/>
                <w:szCs w:val="21"/>
                <w:highlight w:val="none"/>
                <w:lang w:eastAsia="zh-CN"/>
              </w:rPr>
              <w:t>供应商</w:t>
            </w:r>
            <w:r>
              <w:rPr>
                <w:rFonts w:hint="eastAsia" w:ascii="宋体" w:hAnsi="宋体" w:cs="宋体"/>
                <w:szCs w:val="21"/>
                <w:highlight w:val="none"/>
              </w:rPr>
              <w:t>具有有效的质量管理体系认证、职业健康安全管理体系认证、环境管理体系认证、</w:t>
            </w:r>
            <w:r>
              <w:rPr>
                <w:rFonts w:hint="eastAsia" w:asciiTheme="minorEastAsia" w:hAnsiTheme="minorEastAsia" w:eastAsiaTheme="minorEastAsia" w:cstheme="minorEastAsia"/>
                <w:color w:val="000000" w:themeColor="text1"/>
                <w:highlight w:val="none"/>
                <w14:textFill>
                  <w14:solidFill>
                    <w14:schemeClr w14:val="tx1"/>
                  </w14:solidFill>
                </w14:textFill>
              </w:rPr>
              <w:t>IT服务管理体系认证证书</w:t>
            </w:r>
            <w:r>
              <w:rPr>
                <w:rFonts w:hint="eastAsia" w:ascii="宋体" w:hAnsi="宋体" w:cs="宋体"/>
                <w:szCs w:val="21"/>
                <w:highlight w:val="none"/>
              </w:rPr>
              <w:t>。每个证书5分，最高20分。不能提供得0分。（需提供证书复印件并加盖单位公章）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1" w:hRule="atLeast"/>
          <w:jc w:val="center"/>
        </w:trPr>
        <w:tc>
          <w:tcPr>
            <w:tcW w:w="817" w:type="dxa"/>
            <w:vAlign w:val="center"/>
          </w:tcPr>
          <w:p>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w:t>
            </w:r>
          </w:p>
        </w:tc>
        <w:tc>
          <w:tcPr>
            <w:tcW w:w="1284" w:type="dxa"/>
            <w:vAlign w:val="center"/>
          </w:tcPr>
          <w:p>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项目经验</w:t>
            </w:r>
          </w:p>
        </w:tc>
        <w:tc>
          <w:tcPr>
            <w:tcW w:w="951" w:type="dxa"/>
            <w:vAlign w:val="center"/>
          </w:tcPr>
          <w:p>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25分</w:t>
            </w:r>
          </w:p>
        </w:tc>
        <w:tc>
          <w:tcPr>
            <w:tcW w:w="5860" w:type="dxa"/>
            <w:vAlign w:val="center"/>
          </w:tcPr>
          <w:p>
            <w:pPr>
              <w:rPr>
                <w:rFonts w:asciiTheme="minorEastAsia" w:hAnsiTheme="minorEastAsia" w:eastAsiaTheme="minorEastAsia" w:cstheme="minorEastAsia"/>
                <w:szCs w:val="21"/>
                <w:highlight w:val="none"/>
              </w:rPr>
            </w:pPr>
            <w:r>
              <w:rPr>
                <w:rFonts w:hint="eastAsia" w:ascii="宋体" w:hAnsi="宋体" w:cs="宋体"/>
                <w:szCs w:val="21"/>
                <w:highlight w:val="none"/>
                <w:lang w:eastAsia="zh-CN"/>
              </w:rPr>
              <w:t>供应商</w:t>
            </w:r>
            <w:r>
              <w:rPr>
                <w:rFonts w:hint="eastAsia" w:ascii="宋体" w:hAnsi="宋体" w:cs="宋体"/>
                <w:szCs w:val="21"/>
                <w:highlight w:val="none"/>
              </w:rPr>
              <w:t>2016年1月1日以来（以合同签订时间为准）</w:t>
            </w:r>
            <w:r>
              <w:rPr>
                <w:rFonts w:hint="eastAsia" w:asciiTheme="minorEastAsia" w:hAnsiTheme="minorEastAsia" w:eastAsiaTheme="minorEastAsia" w:cstheme="minorEastAsia"/>
                <w:szCs w:val="21"/>
                <w:highlight w:val="none"/>
              </w:rPr>
              <w:t>的同类项目经验（以相关合同或协议为准）。</w:t>
            </w:r>
          </w:p>
          <w:p>
            <w:pP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每提供一个得5分，满分25分。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7" w:hRule="atLeast"/>
          <w:jc w:val="center"/>
        </w:trPr>
        <w:tc>
          <w:tcPr>
            <w:tcW w:w="817" w:type="dxa"/>
            <w:vAlign w:val="center"/>
          </w:tcPr>
          <w:p>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w:t>
            </w:r>
          </w:p>
        </w:tc>
        <w:tc>
          <w:tcPr>
            <w:tcW w:w="1284" w:type="dxa"/>
            <w:vAlign w:val="center"/>
          </w:tcPr>
          <w:p>
            <w:pPr>
              <w:widowControl w:val="0"/>
              <w:adjustRightInd w:val="0"/>
              <w:snapToGrid w:val="0"/>
              <w:spacing w:after="60"/>
              <w:jc w:val="center"/>
              <w:rPr>
                <w:rFonts w:asciiTheme="minorEastAsia" w:hAnsiTheme="minorEastAsia" w:eastAsiaTheme="minorEastAsia" w:cstheme="minorEastAsia"/>
                <w:szCs w:val="21"/>
                <w:highlight w:val="none"/>
              </w:rPr>
            </w:pPr>
            <w:r>
              <w:rPr>
                <w:rFonts w:hint="eastAsia" w:ascii="宋体" w:hAnsi="宋体"/>
                <w:szCs w:val="21"/>
                <w:highlight w:val="none"/>
              </w:rPr>
              <w:t>项目管理、技术及服务人员情况</w:t>
            </w:r>
          </w:p>
        </w:tc>
        <w:tc>
          <w:tcPr>
            <w:tcW w:w="951" w:type="dxa"/>
            <w:vAlign w:val="center"/>
          </w:tcPr>
          <w:p>
            <w:pPr>
              <w:jc w:val="center"/>
              <w:rPr>
                <w:rFonts w:asciiTheme="minorEastAsia" w:hAnsiTheme="minorEastAsia" w:eastAsiaTheme="minorEastAsia" w:cstheme="minorEastAsia"/>
                <w:szCs w:val="21"/>
                <w:highlight w:val="none"/>
              </w:rPr>
            </w:pPr>
            <w:r>
              <w:rPr>
                <w:rFonts w:hint="eastAsia" w:ascii="宋体" w:hAnsi="宋体"/>
                <w:szCs w:val="21"/>
                <w:highlight w:val="none"/>
              </w:rPr>
              <w:t>15</w:t>
            </w:r>
            <w:r>
              <w:rPr>
                <w:rFonts w:hint="eastAsia" w:ascii="宋体" w:hAnsi="宋体" w:cs="Arial Unicode MS"/>
                <w:szCs w:val="21"/>
                <w:highlight w:val="none"/>
              </w:rPr>
              <w:t>分</w:t>
            </w:r>
          </w:p>
        </w:tc>
        <w:tc>
          <w:tcPr>
            <w:tcW w:w="5860" w:type="dxa"/>
            <w:vAlign w:val="center"/>
          </w:tcPr>
          <w:p>
            <w:pPr>
              <w:rPr>
                <w:rFonts w:ascii="宋体" w:hAnsi="宋体"/>
                <w:kern w:val="2"/>
                <w:szCs w:val="21"/>
                <w:highlight w:val="none"/>
              </w:rPr>
            </w:pPr>
            <w:r>
              <w:rPr>
                <w:rFonts w:hint="eastAsia" w:ascii="宋体" w:hAnsi="宋体"/>
                <w:kern w:val="2"/>
                <w:szCs w:val="21"/>
                <w:highlight w:val="none"/>
              </w:rPr>
              <w:t>对</w:t>
            </w:r>
            <w:r>
              <w:rPr>
                <w:rFonts w:hint="eastAsia" w:ascii="宋体" w:hAnsi="宋体"/>
                <w:kern w:val="2"/>
                <w:szCs w:val="21"/>
                <w:highlight w:val="none"/>
                <w:lang w:eastAsia="zh-CN"/>
              </w:rPr>
              <w:t>供应商</w:t>
            </w:r>
            <w:r>
              <w:rPr>
                <w:rFonts w:hint="eastAsia" w:ascii="宋体" w:hAnsi="宋体"/>
                <w:kern w:val="2"/>
                <w:szCs w:val="21"/>
                <w:highlight w:val="none"/>
              </w:rPr>
              <w:t>拟投入本项目的技术服务力量进行综合考量：</w:t>
            </w:r>
          </w:p>
          <w:p>
            <w:pPr>
              <w:rPr>
                <w:rFonts w:ascii="宋体" w:hAnsi="宋体"/>
                <w:kern w:val="2"/>
                <w:szCs w:val="21"/>
                <w:highlight w:val="none"/>
              </w:rPr>
            </w:pPr>
            <w:r>
              <w:rPr>
                <w:rFonts w:hint="eastAsia" w:ascii="宋体" w:hAnsi="宋体"/>
                <w:kern w:val="2"/>
                <w:szCs w:val="21"/>
                <w:highlight w:val="none"/>
              </w:rPr>
              <w:t>提供拟投入本项目技术服务人员的相关资质证书及其在投标公司任职的外部证明材料（本项目投标截止日之前连续六个月的由社保局出具的社保证明）。</w:t>
            </w:r>
          </w:p>
          <w:p>
            <w:pPr>
              <w:rPr>
                <w:rFonts w:ascii="宋体" w:hAnsi="宋体"/>
                <w:kern w:val="2"/>
                <w:szCs w:val="21"/>
                <w:highlight w:val="none"/>
              </w:rPr>
            </w:pPr>
            <w:r>
              <w:rPr>
                <w:rFonts w:hint="eastAsia" w:ascii="宋体" w:hAnsi="宋体"/>
                <w:kern w:val="2"/>
                <w:szCs w:val="21"/>
                <w:highlight w:val="none"/>
              </w:rPr>
              <w:t>对比最优得15分，其次以3分递减，最低得0分。</w:t>
            </w:r>
          </w:p>
          <w:p>
            <w:pPr>
              <w:rPr>
                <w:rFonts w:asciiTheme="minorEastAsia" w:hAnsiTheme="minorEastAsia" w:eastAsiaTheme="minorEastAsia" w:cstheme="minorEastAsia"/>
                <w:szCs w:val="21"/>
                <w:highlight w:val="none"/>
              </w:rPr>
            </w:pPr>
            <w:r>
              <w:rPr>
                <w:rFonts w:hint="eastAsia" w:ascii="宋体" w:hAnsi="宋体"/>
                <w:kern w:val="2"/>
                <w:szCs w:val="21"/>
                <w:highlight w:val="none"/>
              </w:rPr>
              <w:t>无提供社保证明：0分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7" w:hRule="atLeast"/>
          <w:jc w:val="center"/>
        </w:trPr>
        <w:tc>
          <w:tcPr>
            <w:tcW w:w="817" w:type="dxa"/>
            <w:vAlign w:val="center"/>
          </w:tcPr>
          <w:p>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5</w:t>
            </w:r>
          </w:p>
        </w:tc>
        <w:tc>
          <w:tcPr>
            <w:tcW w:w="1284" w:type="dxa"/>
            <w:vAlign w:val="center"/>
          </w:tcPr>
          <w:p>
            <w:pPr>
              <w:snapToGrid w:val="0"/>
              <w:spacing w:line="300" w:lineRule="auto"/>
              <w:jc w:val="center"/>
              <w:rPr>
                <w:rFonts w:ascii="宋体" w:hAnsi="宋体"/>
                <w:szCs w:val="21"/>
                <w:highlight w:val="none"/>
              </w:rPr>
            </w:pPr>
            <w:r>
              <w:rPr>
                <w:rFonts w:hint="eastAsia" w:ascii="宋体" w:hAnsi="宋体"/>
                <w:szCs w:val="21"/>
                <w:highlight w:val="none"/>
              </w:rPr>
              <w:t>服务便利性</w:t>
            </w:r>
          </w:p>
        </w:tc>
        <w:tc>
          <w:tcPr>
            <w:tcW w:w="951" w:type="dxa"/>
            <w:vAlign w:val="center"/>
          </w:tcPr>
          <w:p>
            <w:pPr>
              <w:snapToGrid w:val="0"/>
              <w:spacing w:line="300" w:lineRule="auto"/>
              <w:jc w:val="center"/>
              <w:rPr>
                <w:rFonts w:ascii="宋体" w:hAnsi="宋体"/>
                <w:szCs w:val="21"/>
                <w:highlight w:val="none"/>
              </w:rPr>
            </w:pPr>
            <w:r>
              <w:rPr>
                <w:rFonts w:hint="eastAsia" w:ascii="宋体" w:hAnsi="宋体"/>
                <w:szCs w:val="21"/>
                <w:highlight w:val="none"/>
              </w:rPr>
              <w:t>10分</w:t>
            </w:r>
          </w:p>
        </w:tc>
        <w:tc>
          <w:tcPr>
            <w:tcW w:w="5860" w:type="dxa"/>
            <w:vAlign w:val="center"/>
          </w:tcPr>
          <w:p>
            <w:pPr>
              <w:snapToGrid w:val="0"/>
              <w:spacing w:line="300" w:lineRule="auto"/>
              <w:rPr>
                <w:rFonts w:ascii="宋体" w:hAnsi="宋体"/>
                <w:szCs w:val="21"/>
                <w:highlight w:val="none"/>
              </w:rPr>
            </w:pPr>
            <w:r>
              <w:rPr>
                <w:rFonts w:hint="eastAsia" w:ascii="宋体" w:hAnsi="宋体"/>
                <w:szCs w:val="21"/>
                <w:highlight w:val="none"/>
              </w:rPr>
              <w:t>（1）在项目所在地内有服务机构或办公场所，得10分；</w:t>
            </w:r>
          </w:p>
          <w:p>
            <w:pPr>
              <w:snapToGrid w:val="0"/>
              <w:spacing w:line="300" w:lineRule="auto"/>
              <w:rPr>
                <w:rFonts w:ascii="宋体" w:hAnsi="宋体"/>
                <w:szCs w:val="21"/>
                <w:highlight w:val="none"/>
              </w:rPr>
            </w:pPr>
            <w:r>
              <w:rPr>
                <w:rFonts w:hint="eastAsia" w:ascii="宋体" w:hAnsi="宋体"/>
                <w:szCs w:val="21"/>
                <w:highlight w:val="none"/>
              </w:rPr>
              <w:t>（2）在项目所在地（省）有服务机构或办公场所，得5分；</w:t>
            </w:r>
          </w:p>
          <w:p>
            <w:pPr>
              <w:snapToGrid w:val="0"/>
              <w:spacing w:line="300" w:lineRule="auto"/>
              <w:rPr>
                <w:rFonts w:ascii="宋体" w:hAnsi="宋体"/>
                <w:szCs w:val="21"/>
                <w:highlight w:val="none"/>
              </w:rPr>
            </w:pPr>
            <w:r>
              <w:rPr>
                <w:rFonts w:hint="eastAsia" w:ascii="宋体" w:hAnsi="宋体"/>
                <w:szCs w:val="21"/>
                <w:highlight w:val="none"/>
              </w:rPr>
              <w:t>（3）在项目所在地（省）没有服务机构或办公场所，得1分。</w:t>
            </w:r>
          </w:p>
          <w:p>
            <w:pPr>
              <w:snapToGrid w:val="0"/>
              <w:spacing w:line="300" w:lineRule="auto"/>
              <w:rPr>
                <w:rFonts w:ascii="宋体" w:hAnsi="宋体"/>
                <w:szCs w:val="21"/>
                <w:highlight w:val="none"/>
              </w:rPr>
            </w:pPr>
            <w:r>
              <w:rPr>
                <w:rFonts w:hint="eastAsia" w:ascii="宋体" w:hAnsi="宋体"/>
                <w:szCs w:val="21"/>
                <w:highlight w:val="none"/>
              </w:rPr>
              <w:t>（4）其余得0分</w:t>
            </w:r>
          </w:p>
          <w:p>
            <w:pPr>
              <w:snapToGrid w:val="0"/>
              <w:spacing w:line="300" w:lineRule="auto"/>
              <w:rPr>
                <w:rFonts w:ascii="宋体" w:hAnsi="宋体"/>
                <w:kern w:val="2"/>
                <w:szCs w:val="21"/>
                <w:highlight w:val="none"/>
              </w:rPr>
            </w:pPr>
            <w:r>
              <w:rPr>
                <w:rFonts w:hint="eastAsia" w:ascii="宋体" w:hAnsi="宋体"/>
                <w:szCs w:val="21"/>
                <w:highlight w:val="none"/>
              </w:rPr>
              <w:t>（提供营业执照或房产证明或租赁合同复印件）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7" w:hRule="atLeast"/>
          <w:jc w:val="center"/>
        </w:trPr>
        <w:tc>
          <w:tcPr>
            <w:tcW w:w="817" w:type="dxa"/>
            <w:vAlign w:val="center"/>
          </w:tcPr>
          <w:p>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6</w:t>
            </w:r>
          </w:p>
        </w:tc>
        <w:tc>
          <w:tcPr>
            <w:tcW w:w="1284" w:type="dxa"/>
            <w:vAlign w:val="center"/>
          </w:tcPr>
          <w:p>
            <w:pPr>
              <w:snapToGrid w:val="0"/>
              <w:spacing w:line="300" w:lineRule="auto"/>
              <w:jc w:val="center"/>
              <w:rPr>
                <w:rFonts w:ascii="宋体" w:hAnsi="宋体"/>
                <w:szCs w:val="21"/>
                <w:highlight w:val="none"/>
              </w:rPr>
            </w:pPr>
            <w:r>
              <w:rPr>
                <w:rFonts w:hint="eastAsia" w:ascii="宋体" w:hAnsi="宋体"/>
                <w:szCs w:val="21"/>
                <w:highlight w:val="none"/>
              </w:rPr>
              <w:t>收费合理性</w:t>
            </w:r>
          </w:p>
        </w:tc>
        <w:tc>
          <w:tcPr>
            <w:tcW w:w="951" w:type="dxa"/>
            <w:vAlign w:val="center"/>
          </w:tcPr>
          <w:p>
            <w:pPr>
              <w:snapToGrid w:val="0"/>
              <w:spacing w:line="300" w:lineRule="auto"/>
              <w:jc w:val="center"/>
              <w:rPr>
                <w:rFonts w:ascii="宋体" w:hAnsi="宋体"/>
                <w:szCs w:val="21"/>
                <w:highlight w:val="none"/>
              </w:rPr>
            </w:pPr>
            <w:r>
              <w:rPr>
                <w:rFonts w:hint="eastAsia" w:ascii="宋体" w:hAnsi="宋体"/>
                <w:szCs w:val="21"/>
                <w:highlight w:val="none"/>
              </w:rPr>
              <w:t>10分</w:t>
            </w:r>
          </w:p>
        </w:tc>
        <w:tc>
          <w:tcPr>
            <w:tcW w:w="5860" w:type="dxa"/>
            <w:vAlign w:val="center"/>
          </w:tcPr>
          <w:p>
            <w:pPr>
              <w:snapToGrid w:val="0"/>
              <w:spacing w:line="300" w:lineRule="auto"/>
              <w:rPr>
                <w:rFonts w:ascii="宋体" w:hAnsi="宋体" w:eastAsiaTheme="majorEastAsia"/>
                <w:szCs w:val="21"/>
                <w:highlight w:val="none"/>
              </w:rPr>
            </w:pPr>
            <w:r>
              <w:rPr>
                <w:rFonts w:hint="eastAsia" w:asciiTheme="majorEastAsia" w:hAnsiTheme="majorEastAsia" w:eastAsiaTheme="majorEastAsia" w:cstheme="majorEastAsia"/>
                <w:szCs w:val="21"/>
                <w:highlight w:val="none"/>
                <w:lang w:val="zh-CN"/>
              </w:rPr>
              <w:t>综合对比各供应商提供的对电商平台供应商的各类收费标准和详细的收费方案，收费标准最优惠、最合理的得</w:t>
            </w:r>
            <w:r>
              <w:rPr>
                <w:rFonts w:hint="eastAsia" w:asciiTheme="majorEastAsia" w:hAnsiTheme="majorEastAsia" w:eastAsiaTheme="majorEastAsia" w:cstheme="majorEastAsia"/>
                <w:szCs w:val="21"/>
                <w:highlight w:val="none"/>
              </w:rPr>
              <w:t>10分，其次以2分递减，最低得0分。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jc w:val="center"/>
        </w:trPr>
        <w:tc>
          <w:tcPr>
            <w:tcW w:w="2101" w:type="dxa"/>
            <w:gridSpan w:val="2"/>
            <w:vAlign w:val="center"/>
          </w:tcPr>
          <w:p>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总分</w:t>
            </w:r>
          </w:p>
        </w:tc>
        <w:tc>
          <w:tcPr>
            <w:tcW w:w="951" w:type="dxa"/>
            <w:vAlign w:val="center"/>
          </w:tcPr>
          <w:p>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100分</w:t>
            </w:r>
          </w:p>
        </w:tc>
        <w:tc>
          <w:tcPr>
            <w:tcW w:w="5860" w:type="dxa"/>
            <w:vAlign w:val="center"/>
          </w:tcPr>
          <w:p>
            <w:pPr>
              <w:rPr>
                <w:rFonts w:asciiTheme="minorEastAsia" w:hAnsiTheme="minorEastAsia" w:eastAsiaTheme="minorEastAsia" w:cstheme="minorEastAsia"/>
                <w:szCs w:val="21"/>
                <w:highlight w:val="none"/>
              </w:rPr>
            </w:pPr>
          </w:p>
        </w:tc>
      </w:tr>
    </w:tbl>
    <w:p>
      <w:pPr>
        <w:pStyle w:val="4"/>
        <w:spacing w:line="360" w:lineRule="auto"/>
        <w:ind w:firstLine="0"/>
        <w:rPr>
          <w:rFonts w:ascii="宋体" w:hAnsi="宋体" w:cs="宋体"/>
          <w:highlight w:val="none"/>
        </w:rPr>
      </w:pPr>
    </w:p>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p>
      <w:pPr>
        <w:pStyle w:val="2"/>
        <w:pageBreakBefore/>
        <w:spacing w:before="0" w:after="0" w:line="360" w:lineRule="auto"/>
        <w:jc w:val="center"/>
        <w:rPr>
          <w:rFonts w:ascii="宋体" w:hAnsi="宋体" w:cs="宋体"/>
          <w:b w:val="0"/>
          <w:sz w:val="24"/>
          <w:szCs w:val="24"/>
          <w:highlight w:val="none"/>
        </w:rPr>
      </w:pPr>
      <w:bookmarkStart w:id="2218" w:name="_Toc497225733"/>
      <w:bookmarkStart w:id="2219" w:name="_Toc101843133"/>
      <w:bookmarkStart w:id="2220" w:name="_Toc101951271"/>
      <w:bookmarkStart w:id="2221" w:name="_Toc9140"/>
      <w:bookmarkStart w:id="2222" w:name="_Toc469512698"/>
      <w:bookmarkStart w:id="2223" w:name="_Toc27394"/>
      <w:bookmarkStart w:id="2224" w:name="_Toc519164564"/>
      <w:bookmarkStart w:id="2225" w:name="_Toc17449"/>
      <w:bookmarkStart w:id="2226" w:name="_Toc3234"/>
      <w:bookmarkStart w:id="2227" w:name="_Toc101771380"/>
      <w:bookmarkStart w:id="2228" w:name="_Toc13240"/>
      <w:bookmarkStart w:id="2229" w:name="_Toc28521"/>
      <w:bookmarkStart w:id="2230" w:name="_Toc469512924"/>
      <w:bookmarkStart w:id="2231" w:name="_Toc532567243"/>
      <w:bookmarkStart w:id="2232" w:name="_Toc101775133"/>
      <w:bookmarkStart w:id="2233" w:name="_Toc502737330"/>
      <w:bookmarkStart w:id="2234" w:name="_Toc519164418"/>
      <w:bookmarkStart w:id="2235" w:name="_Toc526766050"/>
      <w:bookmarkStart w:id="2236" w:name="_Toc26836"/>
      <w:bookmarkStart w:id="2237" w:name="_Toc14284"/>
      <w:r>
        <w:rPr>
          <w:rFonts w:hint="eastAsia" w:ascii="宋体" w:hAnsi="宋体" w:cs="宋体"/>
          <w:sz w:val="24"/>
          <w:szCs w:val="24"/>
          <w:highlight w:val="none"/>
        </w:rPr>
        <w:t xml:space="preserve">第五章 </w:t>
      </w:r>
      <w:bookmarkStart w:id="2238" w:name="_Toc41723938"/>
      <w:bookmarkStart w:id="2239" w:name="_Toc41884708"/>
      <w:bookmarkStart w:id="2240" w:name="_Toc40762376"/>
      <w:bookmarkStart w:id="2241" w:name="_Toc42313174"/>
      <w:bookmarkStart w:id="2242" w:name="_Toc38947808"/>
      <w:r>
        <w:rPr>
          <w:rFonts w:hint="eastAsia" w:ascii="宋体" w:hAnsi="宋体" w:cs="宋体"/>
          <w:sz w:val="24"/>
          <w:szCs w:val="24"/>
          <w:highlight w:val="none"/>
        </w:rPr>
        <w:t>响应文件格式</w:t>
      </w:r>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p>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p>
      <w:pPr>
        <w:pStyle w:val="31"/>
        <w:rPr>
          <w:rFonts w:hAnsi="宋体" w:cs="宋体"/>
          <w:b/>
          <w:highlight w:val="none"/>
        </w:rPr>
      </w:pPr>
    </w:p>
    <w:p>
      <w:pPr>
        <w:spacing w:line="360" w:lineRule="auto"/>
        <w:jc w:val="center"/>
        <w:rPr>
          <w:highlight w:val="none"/>
        </w:rPr>
      </w:pPr>
      <w:r>
        <w:rPr>
          <w:rFonts w:hint="eastAsia" w:hAnsi="宋体" w:cs="宋体"/>
          <w:b/>
          <w:highlight w:val="none"/>
        </w:rPr>
        <w:t>目录</w:t>
      </w:r>
    </w:p>
    <w:p>
      <w:pPr>
        <w:pStyle w:val="31"/>
        <w:tabs>
          <w:tab w:val="right" w:leader="dot" w:pos="9412"/>
          <w:tab w:val="clear" w:pos="9402"/>
        </w:tabs>
      </w:pPr>
      <w:r>
        <w:rPr>
          <w:rFonts w:hint="eastAsia" w:hAnsi="宋体" w:cs="宋体"/>
          <w:b/>
          <w:highlight w:val="none"/>
        </w:rPr>
        <w:fldChar w:fldCharType="begin"/>
      </w:r>
      <w:r>
        <w:rPr>
          <w:rFonts w:hint="eastAsia" w:hAnsi="宋体" w:cs="宋体"/>
          <w:b/>
          <w:highlight w:val="none"/>
        </w:rPr>
        <w:instrText xml:space="preserve"> TOC \o "1-3" \h \z \u </w:instrText>
      </w:r>
      <w:r>
        <w:rPr>
          <w:rFonts w:hint="eastAsia" w:hAnsi="宋体" w:cs="宋体"/>
          <w:b/>
          <w:highlight w:val="none"/>
        </w:rPr>
        <w:fldChar w:fldCharType="separate"/>
      </w:r>
    </w:p>
    <w:p>
      <w:pPr>
        <w:pStyle w:val="37"/>
        <w:tabs>
          <w:tab w:val="right" w:leader="dot" w:pos="9412"/>
          <w:tab w:val="clear" w:pos="9402"/>
        </w:tabs>
        <w:spacing w:line="480" w:lineRule="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highlight w:val="none"/>
        </w:rPr>
        <w:fldChar w:fldCharType="begin"/>
      </w:r>
      <w:r>
        <w:rPr>
          <w:rFonts w:hint="eastAsia" w:asciiTheme="minorEastAsia" w:hAnsiTheme="minorEastAsia" w:eastAsiaTheme="minorEastAsia" w:cstheme="minorEastAsia"/>
          <w:b/>
          <w:bCs/>
          <w:highlight w:val="none"/>
        </w:rPr>
        <w:instrText xml:space="preserve"> HYPERLINK \l _Toc8050 </w:instrText>
      </w:r>
      <w:r>
        <w:rPr>
          <w:rFonts w:hint="eastAsia" w:asciiTheme="minorEastAsia" w:hAnsiTheme="minorEastAsia" w:eastAsiaTheme="minorEastAsia" w:cstheme="minorEastAsia"/>
          <w:b/>
          <w:bCs/>
          <w:highlight w:val="none"/>
        </w:rPr>
        <w:fldChar w:fldCharType="separate"/>
      </w:r>
      <w:r>
        <w:rPr>
          <w:rFonts w:hint="eastAsia" w:asciiTheme="minorEastAsia" w:hAnsiTheme="minorEastAsia" w:eastAsiaTheme="minorEastAsia" w:cstheme="minorEastAsia"/>
          <w:b/>
          <w:bCs/>
          <w:szCs w:val="21"/>
          <w:highlight w:val="none"/>
        </w:rPr>
        <w:t>1.自查表</w:t>
      </w:r>
      <w:r>
        <w:rPr>
          <w:rFonts w:hint="eastAsia" w:asciiTheme="minorEastAsia" w:hAnsiTheme="minorEastAsia" w:eastAsiaTheme="minorEastAsia" w:cstheme="minorEastAsia"/>
          <w:b/>
          <w:bCs/>
        </w:rPr>
        <w:tab/>
      </w:r>
      <w:r>
        <w:rPr>
          <w:rFonts w:hint="eastAsia" w:asciiTheme="minorEastAsia" w:hAnsiTheme="minorEastAsia" w:eastAsiaTheme="minorEastAsia" w:cstheme="minorEastAsia"/>
          <w:b/>
          <w:bCs/>
        </w:rPr>
        <w:fldChar w:fldCharType="begin"/>
      </w:r>
      <w:r>
        <w:rPr>
          <w:rFonts w:hint="eastAsia" w:asciiTheme="minorEastAsia" w:hAnsiTheme="minorEastAsia" w:eastAsiaTheme="minorEastAsia" w:cstheme="minorEastAsia"/>
          <w:b/>
          <w:bCs/>
        </w:rPr>
        <w:instrText xml:space="preserve"> PAGEREF _Toc8050 </w:instrText>
      </w:r>
      <w:r>
        <w:rPr>
          <w:rFonts w:hint="eastAsia" w:asciiTheme="minorEastAsia" w:hAnsiTheme="minorEastAsia" w:eastAsiaTheme="minorEastAsia" w:cstheme="minorEastAsia"/>
          <w:b/>
          <w:bCs/>
        </w:rPr>
        <w:fldChar w:fldCharType="separate"/>
      </w:r>
      <w:r>
        <w:rPr>
          <w:rFonts w:hint="eastAsia" w:asciiTheme="minorEastAsia" w:hAnsiTheme="minorEastAsia" w:eastAsiaTheme="minorEastAsia" w:cstheme="minorEastAsia"/>
          <w:b/>
          <w:bCs/>
        </w:rPr>
        <w:t>33</w:t>
      </w:r>
      <w:r>
        <w:rPr>
          <w:rFonts w:hint="eastAsia" w:asciiTheme="minorEastAsia" w:hAnsiTheme="minorEastAsia" w:eastAsiaTheme="minorEastAsia" w:cstheme="minorEastAsia"/>
          <w:b/>
          <w:bCs/>
        </w:rPr>
        <w:fldChar w:fldCharType="end"/>
      </w:r>
      <w:r>
        <w:rPr>
          <w:rFonts w:hint="eastAsia" w:asciiTheme="minorEastAsia" w:hAnsiTheme="minorEastAsia" w:eastAsiaTheme="minorEastAsia" w:cstheme="minorEastAsia"/>
          <w:b/>
          <w:bCs/>
          <w:highlight w:val="none"/>
        </w:rPr>
        <w:fldChar w:fldCharType="end"/>
      </w:r>
    </w:p>
    <w:p>
      <w:pPr>
        <w:pStyle w:val="37"/>
        <w:tabs>
          <w:tab w:val="right" w:leader="dot" w:pos="9412"/>
          <w:tab w:val="clear" w:pos="9402"/>
        </w:tabs>
        <w:spacing w:line="480" w:lineRule="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highlight w:val="none"/>
        </w:rPr>
        <w:fldChar w:fldCharType="begin"/>
      </w:r>
      <w:r>
        <w:rPr>
          <w:rFonts w:hint="eastAsia" w:asciiTheme="minorEastAsia" w:hAnsiTheme="minorEastAsia" w:eastAsiaTheme="minorEastAsia" w:cstheme="minorEastAsia"/>
          <w:b/>
          <w:bCs/>
          <w:highlight w:val="none"/>
        </w:rPr>
        <w:instrText xml:space="preserve"> HYPERLINK \l _Toc32749 </w:instrText>
      </w:r>
      <w:r>
        <w:rPr>
          <w:rFonts w:hint="eastAsia" w:asciiTheme="minorEastAsia" w:hAnsiTheme="minorEastAsia" w:eastAsiaTheme="minorEastAsia" w:cstheme="minorEastAsia"/>
          <w:b/>
          <w:bCs/>
          <w:highlight w:val="none"/>
        </w:rPr>
        <w:fldChar w:fldCharType="separate"/>
      </w:r>
      <w:r>
        <w:rPr>
          <w:rFonts w:hint="eastAsia" w:asciiTheme="minorEastAsia" w:hAnsiTheme="minorEastAsia" w:eastAsiaTheme="minorEastAsia" w:cstheme="minorEastAsia"/>
          <w:b/>
          <w:bCs/>
          <w:szCs w:val="21"/>
          <w:highlight w:val="none"/>
        </w:rPr>
        <w:t>2.</w:t>
      </w:r>
      <w:r>
        <w:rPr>
          <w:rFonts w:hint="eastAsia" w:asciiTheme="minorEastAsia" w:hAnsiTheme="minorEastAsia" w:eastAsiaTheme="minorEastAsia" w:cstheme="minorEastAsia"/>
          <w:b/>
          <w:bCs/>
          <w:szCs w:val="21"/>
          <w:highlight w:val="none"/>
          <w:lang w:val="en-US" w:eastAsia="zh-CN"/>
        </w:rPr>
        <w:t>投标</w:t>
      </w:r>
      <w:r>
        <w:rPr>
          <w:rFonts w:hint="eastAsia" w:asciiTheme="minorEastAsia" w:hAnsiTheme="minorEastAsia" w:eastAsiaTheme="minorEastAsia" w:cstheme="minorEastAsia"/>
          <w:b/>
          <w:bCs/>
          <w:szCs w:val="21"/>
          <w:highlight w:val="none"/>
        </w:rPr>
        <w:t>函</w:t>
      </w:r>
      <w:r>
        <w:rPr>
          <w:rFonts w:hint="eastAsia" w:asciiTheme="minorEastAsia" w:hAnsiTheme="minorEastAsia" w:eastAsiaTheme="minorEastAsia" w:cstheme="minorEastAsia"/>
          <w:b/>
          <w:bCs/>
        </w:rPr>
        <w:tab/>
      </w:r>
      <w:r>
        <w:rPr>
          <w:rFonts w:hint="eastAsia" w:asciiTheme="minorEastAsia" w:hAnsiTheme="minorEastAsia" w:eastAsiaTheme="minorEastAsia" w:cstheme="minorEastAsia"/>
          <w:b/>
          <w:bCs/>
        </w:rPr>
        <w:fldChar w:fldCharType="begin"/>
      </w:r>
      <w:r>
        <w:rPr>
          <w:rFonts w:hint="eastAsia" w:asciiTheme="minorEastAsia" w:hAnsiTheme="minorEastAsia" w:eastAsiaTheme="minorEastAsia" w:cstheme="minorEastAsia"/>
          <w:b/>
          <w:bCs/>
        </w:rPr>
        <w:instrText xml:space="preserve"> PAGEREF _Toc32749 </w:instrText>
      </w:r>
      <w:r>
        <w:rPr>
          <w:rFonts w:hint="eastAsia" w:asciiTheme="minorEastAsia" w:hAnsiTheme="minorEastAsia" w:eastAsiaTheme="minorEastAsia" w:cstheme="minorEastAsia"/>
          <w:b/>
          <w:bCs/>
        </w:rPr>
        <w:fldChar w:fldCharType="separate"/>
      </w:r>
      <w:r>
        <w:rPr>
          <w:rFonts w:hint="eastAsia" w:asciiTheme="minorEastAsia" w:hAnsiTheme="minorEastAsia" w:eastAsiaTheme="minorEastAsia" w:cstheme="minorEastAsia"/>
          <w:b/>
          <w:bCs/>
        </w:rPr>
        <w:t>36</w:t>
      </w:r>
      <w:r>
        <w:rPr>
          <w:rFonts w:hint="eastAsia" w:asciiTheme="minorEastAsia" w:hAnsiTheme="minorEastAsia" w:eastAsiaTheme="minorEastAsia" w:cstheme="minorEastAsia"/>
          <w:b/>
          <w:bCs/>
        </w:rPr>
        <w:fldChar w:fldCharType="end"/>
      </w:r>
      <w:r>
        <w:rPr>
          <w:rFonts w:hint="eastAsia" w:asciiTheme="minorEastAsia" w:hAnsiTheme="minorEastAsia" w:eastAsiaTheme="minorEastAsia" w:cstheme="minorEastAsia"/>
          <w:b/>
          <w:bCs/>
          <w:highlight w:val="none"/>
        </w:rPr>
        <w:fldChar w:fldCharType="end"/>
      </w:r>
    </w:p>
    <w:p>
      <w:pPr>
        <w:pStyle w:val="37"/>
        <w:tabs>
          <w:tab w:val="right" w:leader="dot" w:pos="9412"/>
          <w:tab w:val="clear" w:pos="9402"/>
        </w:tabs>
        <w:spacing w:line="480" w:lineRule="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highlight w:val="none"/>
        </w:rPr>
        <w:fldChar w:fldCharType="begin"/>
      </w:r>
      <w:r>
        <w:rPr>
          <w:rFonts w:hint="eastAsia" w:asciiTheme="minorEastAsia" w:hAnsiTheme="minorEastAsia" w:eastAsiaTheme="minorEastAsia" w:cstheme="minorEastAsia"/>
          <w:b/>
          <w:bCs/>
          <w:highlight w:val="none"/>
        </w:rPr>
        <w:instrText xml:space="preserve"> HYPERLINK \l _Toc13157 </w:instrText>
      </w:r>
      <w:r>
        <w:rPr>
          <w:rFonts w:hint="eastAsia" w:asciiTheme="minorEastAsia" w:hAnsiTheme="minorEastAsia" w:eastAsiaTheme="minorEastAsia" w:cstheme="minorEastAsia"/>
          <w:b/>
          <w:bCs/>
          <w:highlight w:val="none"/>
        </w:rPr>
        <w:fldChar w:fldCharType="separate"/>
      </w:r>
      <w:r>
        <w:rPr>
          <w:rFonts w:hint="eastAsia" w:asciiTheme="minorEastAsia" w:hAnsiTheme="minorEastAsia" w:eastAsiaTheme="minorEastAsia" w:cstheme="minorEastAsia"/>
          <w:b/>
          <w:bCs/>
          <w:szCs w:val="21"/>
          <w:highlight w:val="none"/>
        </w:rPr>
        <w:t>3.资格性审查证明文件</w:t>
      </w:r>
      <w:r>
        <w:rPr>
          <w:rFonts w:hint="eastAsia" w:asciiTheme="minorEastAsia" w:hAnsiTheme="minorEastAsia" w:eastAsiaTheme="minorEastAsia" w:cstheme="minorEastAsia"/>
          <w:b/>
          <w:bCs/>
        </w:rPr>
        <w:tab/>
      </w:r>
      <w:r>
        <w:rPr>
          <w:rFonts w:hint="eastAsia" w:asciiTheme="minorEastAsia" w:hAnsiTheme="minorEastAsia" w:eastAsiaTheme="minorEastAsia" w:cstheme="minorEastAsia"/>
          <w:b/>
          <w:bCs/>
        </w:rPr>
        <w:fldChar w:fldCharType="begin"/>
      </w:r>
      <w:r>
        <w:rPr>
          <w:rFonts w:hint="eastAsia" w:asciiTheme="minorEastAsia" w:hAnsiTheme="minorEastAsia" w:eastAsiaTheme="minorEastAsia" w:cstheme="minorEastAsia"/>
          <w:b/>
          <w:bCs/>
        </w:rPr>
        <w:instrText xml:space="preserve"> PAGEREF _Toc13157 </w:instrText>
      </w:r>
      <w:r>
        <w:rPr>
          <w:rFonts w:hint="eastAsia" w:asciiTheme="minorEastAsia" w:hAnsiTheme="minorEastAsia" w:eastAsiaTheme="minorEastAsia" w:cstheme="minorEastAsia"/>
          <w:b/>
          <w:bCs/>
        </w:rPr>
        <w:fldChar w:fldCharType="separate"/>
      </w:r>
      <w:r>
        <w:rPr>
          <w:rFonts w:hint="eastAsia" w:asciiTheme="minorEastAsia" w:hAnsiTheme="minorEastAsia" w:eastAsiaTheme="minorEastAsia" w:cstheme="minorEastAsia"/>
          <w:b/>
          <w:bCs/>
        </w:rPr>
        <w:t>37</w:t>
      </w:r>
      <w:r>
        <w:rPr>
          <w:rFonts w:hint="eastAsia" w:asciiTheme="minorEastAsia" w:hAnsiTheme="minorEastAsia" w:eastAsiaTheme="minorEastAsia" w:cstheme="minorEastAsia"/>
          <w:b/>
          <w:bCs/>
        </w:rPr>
        <w:fldChar w:fldCharType="end"/>
      </w:r>
      <w:r>
        <w:rPr>
          <w:rFonts w:hint="eastAsia" w:asciiTheme="minorEastAsia" w:hAnsiTheme="minorEastAsia" w:eastAsiaTheme="minorEastAsia" w:cstheme="minorEastAsia"/>
          <w:b/>
          <w:bCs/>
          <w:highlight w:val="none"/>
        </w:rPr>
        <w:fldChar w:fldCharType="end"/>
      </w:r>
    </w:p>
    <w:p>
      <w:pPr>
        <w:pStyle w:val="37"/>
        <w:tabs>
          <w:tab w:val="right" w:leader="dot" w:pos="9412"/>
          <w:tab w:val="clear" w:pos="9402"/>
        </w:tabs>
        <w:spacing w:line="480" w:lineRule="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highlight w:val="none"/>
        </w:rPr>
        <w:fldChar w:fldCharType="begin"/>
      </w:r>
      <w:r>
        <w:rPr>
          <w:rFonts w:hint="eastAsia" w:asciiTheme="minorEastAsia" w:hAnsiTheme="minorEastAsia" w:eastAsiaTheme="minorEastAsia" w:cstheme="minorEastAsia"/>
          <w:b/>
          <w:bCs/>
          <w:highlight w:val="none"/>
        </w:rPr>
        <w:instrText xml:space="preserve"> HYPERLINK \l _Toc2227 </w:instrText>
      </w:r>
      <w:r>
        <w:rPr>
          <w:rFonts w:hint="eastAsia" w:asciiTheme="minorEastAsia" w:hAnsiTheme="minorEastAsia" w:eastAsiaTheme="minorEastAsia" w:cstheme="minorEastAsia"/>
          <w:b/>
          <w:bCs/>
          <w:highlight w:val="none"/>
        </w:rPr>
        <w:fldChar w:fldCharType="separate"/>
      </w:r>
      <w:r>
        <w:rPr>
          <w:rFonts w:hint="eastAsia" w:asciiTheme="minorEastAsia" w:hAnsiTheme="minorEastAsia" w:eastAsiaTheme="minorEastAsia" w:cstheme="minorEastAsia"/>
          <w:b/>
          <w:bCs/>
          <w:szCs w:val="21"/>
          <w:highlight w:val="none"/>
        </w:rPr>
        <w:t>4.其他资质证明文件</w:t>
      </w:r>
      <w:r>
        <w:rPr>
          <w:rFonts w:hint="eastAsia" w:asciiTheme="minorEastAsia" w:hAnsiTheme="minorEastAsia" w:eastAsiaTheme="minorEastAsia" w:cstheme="minorEastAsia"/>
          <w:b/>
          <w:bCs/>
        </w:rPr>
        <w:tab/>
      </w:r>
      <w:r>
        <w:rPr>
          <w:rFonts w:hint="eastAsia" w:asciiTheme="minorEastAsia" w:hAnsiTheme="minorEastAsia" w:eastAsiaTheme="minorEastAsia" w:cstheme="minorEastAsia"/>
          <w:b/>
          <w:bCs/>
        </w:rPr>
        <w:fldChar w:fldCharType="begin"/>
      </w:r>
      <w:r>
        <w:rPr>
          <w:rFonts w:hint="eastAsia" w:asciiTheme="minorEastAsia" w:hAnsiTheme="minorEastAsia" w:eastAsiaTheme="minorEastAsia" w:cstheme="minorEastAsia"/>
          <w:b/>
          <w:bCs/>
        </w:rPr>
        <w:instrText xml:space="preserve"> PAGEREF _Toc2227 </w:instrText>
      </w:r>
      <w:r>
        <w:rPr>
          <w:rFonts w:hint="eastAsia" w:asciiTheme="minorEastAsia" w:hAnsiTheme="minorEastAsia" w:eastAsiaTheme="minorEastAsia" w:cstheme="minorEastAsia"/>
          <w:b/>
          <w:bCs/>
        </w:rPr>
        <w:fldChar w:fldCharType="separate"/>
      </w:r>
      <w:r>
        <w:rPr>
          <w:rFonts w:hint="eastAsia" w:asciiTheme="minorEastAsia" w:hAnsiTheme="minorEastAsia" w:eastAsiaTheme="minorEastAsia" w:cstheme="minorEastAsia"/>
          <w:b/>
          <w:bCs/>
        </w:rPr>
        <w:t>39</w:t>
      </w:r>
      <w:r>
        <w:rPr>
          <w:rFonts w:hint="eastAsia" w:asciiTheme="minorEastAsia" w:hAnsiTheme="minorEastAsia" w:eastAsiaTheme="minorEastAsia" w:cstheme="minorEastAsia"/>
          <w:b/>
          <w:bCs/>
        </w:rPr>
        <w:fldChar w:fldCharType="end"/>
      </w:r>
      <w:r>
        <w:rPr>
          <w:rFonts w:hint="eastAsia" w:asciiTheme="minorEastAsia" w:hAnsiTheme="minorEastAsia" w:eastAsiaTheme="minorEastAsia" w:cstheme="minorEastAsia"/>
          <w:b/>
          <w:bCs/>
          <w:highlight w:val="none"/>
        </w:rPr>
        <w:fldChar w:fldCharType="end"/>
      </w:r>
    </w:p>
    <w:p>
      <w:pPr>
        <w:pStyle w:val="37"/>
        <w:tabs>
          <w:tab w:val="right" w:leader="dot" w:pos="9412"/>
          <w:tab w:val="clear" w:pos="9402"/>
        </w:tabs>
        <w:spacing w:line="480" w:lineRule="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highlight w:val="none"/>
        </w:rPr>
        <w:fldChar w:fldCharType="begin"/>
      </w:r>
      <w:r>
        <w:rPr>
          <w:rFonts w:hint="eastAsia" w:asciiTheme="minorEastAsia" w:hAnsiTheme="minorEastAsia" w:eastAsiaTheme="minorEastAsia" w:cstheme="minorEastAsia"/>
          <w:b/>
          <w:bCs/>
          <w:highlight w:val="none"/>
        </w:rPr>
        <w:instrText xml:space="preserve"> HYPERLINK \l _Toc11864 </w:instrText>
      </w:r>
      <w:r>
        <w:rPr>
          <w:rFonts w:hint="eastAsia" w:asciiTheme="minorEastAsia" w:hAnsiTheme="minorEastAsia" w:eastAsiaTheme="minorEastAsia" w:cstheme="minorEastAsia"/>
          <w:b/>
          <w:bCs/>
          <w:highlight w:val="none"/>
        </w:rPr>
        <w:fldChar w:fldCharType="separate"/>
      </w:r>
      <w:r>
        <w:rPr>
          <w:rFonts w:hint="eastAsia" w:asciiTheme="minorEastAsia" w:hAnsiTheme="minorEastAsia" w:eastAsiaTheme="minorEastAsia" w:cstheme="minorEastAsia"/>
          <w:b/>
          <w:bCs/>
          <w:szCs w:val="21"/>
          <w:highlight w:val="none"/>
        </w:rPr>
        <w:t>5.同类项目业绩介绍</w:t>
      </w:r>
      <w:r>
        <w:rPr>
          <w:rFonts w:hint="eastAsia" w:asciiTheme="minorEastAsia" w:hAnsiTheme="minorEastAsia" w:eastAsiaTheme="minorEastAsia" w:cstheme="minorEastAsia"/>
          <w:b/>
          <w:bCs/>
        </w:rPr>
        <w:tab/>
      </w:r>
      <w:r>
        <w:rPr>
          <w:rFonts w:hint="eastAsia" w:asciiTheme="minorEastAsia" w:hAnsiTheme="minorEastAsia" w:eastAsiaTheme="minorEastAsia" w:cstheme="minorEastAsia"/>
          <w:b/>
          <w:bCs/>
        </w:rPr>
        <w:fldChar w:fldCharType="begin"/>
      </w:r>
      <w:r>
        <w:rPr>
          <w:rFonts w:hint="eastAsia" w:asciiTheme="minorEastAsia" w:hAnsiTheme="minorEastAsia" w:eastAsiaTheme="minorEastAsia" w:cstheme="minorEastAsia"/>
          <w:b/>
          <w:bCs/>
        </w:rPr>
        <w:instrText xml:space="preserve"> PAGEREF _Toc11864 </w:instrText>
      </w:r>
      <w:r>
        <w:rPr>
          <w:rFonts w:hint="eastAsia" w:asciiTheme="minorEastAsia" w:hAnsiTheme="minorEastAsia" w:eastAsiaTheme="minorEastAsia" w:cstheme="minorEastAsia"/>
          <w:b/>
          <w:bCs/>
        </w:rPr>
        <w:fldChar w:fldCharType="separate"/>
      </w:r>
      <w:r>
        <w:rPr>
          <w:rFonts w:hint="eastAsia" w:asciiTheme="minorEastAsia" w:hAnsiTheme="minorEastAsia" w:eastAsiaTheme="minorEastAsia" w:cstheme="minorEastAsia"/>
          <w:b/>
          <w:bCs/>
        </w:rPr>
        <w:t>42</w:t>
      </w:r>
      <w:r>
        <w:rPr>
          <w:rFonts w:hint="eastAsia" w:asciiTheme="minorEastAsia" w:hAnsiTheme="minorEastAsia" w:eastAsiaTheme="minorEastAsia" w:cstheme="minorEastAsia"/>
          <w:b/>
          <w:bCs/>
        </w:rPr>
        <w:fldChar w:fldCharType="end"/>
      </w:r>
      <w:r>
        <w:rPr>
          <w:rFonts w:hint="eastAsia" w:asciiTheme="minorEastAsia" w:hAnsiTheme="minorEastAsia" w:eastAsiaTheme="minorEastAsia" w:cstheme="minorEastAsia"/>
          <w:b/>
          <w:bCs/>
          <w:highlight w:val="none"/>
        </w:rPr>
        <w:fldChar w:fldCharType="end"/>
      </w:r>
    </w:p>
    <w:p>
      <w:pPr>
        <w:pStyle w:val="37"/>
        <w:tabs>
          <w:tab w:val="right" w:leader="dot" w:pos="9412"/>
          <w:tab w:val="clear" w:pos="9402"/>
        </w:tabs>
        <w:spacing w:line="480" w:lineRule="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highlight w:val="none"/>
        </w:rPr>
        <w:fldChar w:fldCharType="begin"/>
      </w:r>
      <w:r>
        <w:rPr>
          <w:rFonts w:hint="eastAsia" w:asciiTheme="minorEastAsia" w:hAnsiTheme="minorEastAsia" w:eastAsiaTheme="minorEastAsia" w:cstheme="minorEastAsia"/>
          <w:b/>
          <w:bCs/>
          <w:highlight w:val="none"/>
        </w:rPr>
        <w:instrText xml:space="preserve"> HYPERLINK \l _Toc11946 </w:instrText>
      </w:r>
      <w:r>
        <w:rPr>
          <w:rFonts w:hint="eastAsia" w:asciiTheme="minorEastAsia" w:hAnsiTheme="minorEastAsia" w:eastAsiaTheme="minorEastAsia" w:cstheme="minorEastAsia"/>
          <w:b/>
          <w:bCs/>
          <w:highlight w:val="none"/>
        </w:rPr>
        <w:fldChar w:fldCharType="separate"/>
      </w:r>
      <w:r>
        <w:rPr>
          <w:rFonts w:hint="eastAsia" w:asciiTheme="minorEastAsia" w:hAnsiTheme="minorEastAsia" w:eastAsiaTheme="minorEastAsia" w:cstheme="minorEastAsia"/>
          <w:b/>
          <w:bCs/>
          <w:szCs w:val="21"/>
          <w:highlight w:val="none"/>
        </w:rPr>
        <w:t>6.供应商获得认证或企业信誉证书一览表</w:t>
      </w:r>
      <w:r>
        <w:rPr>
          <w:rFonts w:hint="eastAsia" w:asciiTheme="minorEastAsia" w:hAnsiTheme="minorEastAsia" w:eastAsiaTheme="minorEastAsia" w:cstheme="minorEastAsia"/>
          <w:b/>
          <w:bCs/>
        </w:rPr>
        <w:tab/>
      </w:r>
      <w:r>
        <w:rPr>
          <w:rFonts w:hint="eastAsia" w:asciiTheme="minorEastAsia" w:hAnsiTheme="minorEastAsia" w:eastAsiaTheme="minorEastAsia" w:cstheme="minorEastAsia"/>
          <w:b/>
          <w:bCs/>
        </w:rPr>
        <w:fldChar w:fldCharType="begin"/>
      </w:r>
      <w:r>
        <w:rPr>
          <w:rFonts w:hint="eastAsia" w:asciiTheme="minorEastAsia" w:hAnsiTheme="minorEastAsia" w:eastAsiaTheme="minorEastAsia" w:cstheme="minorEastAsia"/>
          <w:b/>
          <w:bCs/>
        </w:rPr>
        <w:instrText xml:space="preserve"> PAGEREF _Toc11946 </w:instrText>
      </w:r>
      <w:r>
        <w:rPr>
          <w:rFonts w:hint="eastAsia" w:asciiTheme="minorEastAsia" w:hAnsiTheme="minorEastAsia" w:eastAsiaTheme="minorEastAsia" w:cstheme="minorEastAsia"/>
          <w:b/>
          <w:bCs/>
        </w:rPr>
        <w:fldChar w:fldCharType="separate"/>
      </w:r>
      <w:r>
        <w:rPr>
          <w:rFonts w:hint="eastAsia" w:asciiTheme="minorEastAsia" w:hAnsiTheme="minorEastAsia" w:eastAsiaTheme="minorEastAsia" w:cstheme="minorEastAsia"/>
          <w:b/>
          <w:bCs/>
        </w:rPr>
        <w:t>42</w:t>
      </w:r>
      <w:r>
        <w:rPr>
          <w:rFonts w:hint="eastAsia" w:asciiTheme="minorEastAsia" w:hAnsiTheme="minorEastAsia" w:eastAsiaTheme="minorEastAsia" w:cstheme="minorEastAsia"/>
          <w:b/>
          <w:bCs/>
        </w:rPr>
        <w:fldChar w:fldCharType="end"/>
      </w:r>
      <w:r>
        <w:rPr>
          <w:rFonts w:hint="eastAsia" w:asciiTheme="minorEastAsia" w:hAnsiTheme="minorEastAsia" w:eastAsiaTheme="minorEastAsia" w:cstheme="minorEastAsia"/>
          <w:b/>
          <w:bCs/>
          <w:highlight w:val="none"/>
        </w:rPr>
        <w:fldChar w:fldCharType="end"/>
      </w:r>
    </w:p>
    <w:p>
      <w:pPr>
        <w:pStyle w:val="37"/>
        <w:tabs>
          <w:tab w:val="right" w:leader="dot" w:pos="9412"/>
          <w:tab w:val="clear" w:pos="9402"/>
        </w:tabs>
        <w:spacing w:line="480" w:lineRule="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highlight w:val="none"/>
        </w:rPr>
        <w:fldChar w:fldCharType="begin"/>
      </w:r>
      <w:r>
        <w:rPr>
          <w:rFonts w:hint="eastAsia" w:asciiTheme="minorEastAsia" w:hAnsiTheme="minorEastAsia" w:eastAsiaTheme="minorEastAsia" w:cstheme="minorEastAsia"/>
          <w:b/>
          <w:bCs/>
          <w:highlight w:val="none"/>
        </w:rPr>
        <w:instrText xml:space="preserve"> HYPERLINK \l _Toc29729 </w:instrText>
      </w:r>
      <w:r>
        <w:rPr>
          <w:rFonts w:hint="eastAsia" w:asciiTheme="minorEastAsia" w:hAnsiTheme="minorEastAsia" w:eastAsiaTheme="minorEastAsia" w:cstheme="minorEastAsia"/>
          <w:b/>
          <w:bCs/>
          <w:highlight w:val="none"/>
        </w:rPr>
        <w:fldChar w:fldCharType="separate"/>
      </w:r>
      <w:r>
        <w:rPr>
          <w:rFonts w:hint="eastAsia" w:asciiTheme="minorEastAsia" w:hAnsiTheme="minorEastAsia" w:eastAsiaTheme="minorEastAsia" w:cstheme="minorEastAsia"/>
          <w:b/>
          <w:bCs/>
          <w:szCs w:val="21"/>
          <w:highlight w:val="none"/>
        </w:rPr>
        <w:t>7.</w:t>
      </w:r>
      <w:r>
        <w:rPr>
          <w:rFonts w:hint="eastAsia" w:asciiTheme="minorEastAsia" w:hAnsiTheme="minorEastAsia" w:eastAsiaTheme="minorEastAsia" w:cstheme="minorEastAsia"/>
          <w:b/>
          <w:bCs/>
          <w:szCs w:val="21"/>
          <w:highlight w:val="none"/>
          <w:lang w:val="en-US" w:eastAsia="zh-CN"/>
        </w:rPr>
        <w:t>用户</w:t>
      </w:r>
      <w:r>
        <w:rPr>
          <w:rFonts w:hint="eastAsia" w:asciiTheme="minorEastAsia" w:hAnsiTheme="minorEastAsia" w:eastAsiaTheme="minorEastAsia" w:cstheme="minorEastAsia"/>
          <w:b/>
          <w:bCs/>
          <w:szCs w:val="21"/>
          <w:highlight w:val="none"/>
        </w:rPr>
        <w:t>需求实质性响应条款一览表</w:t>
      </w:r>
      <w:r>
        <w:rPr>
          <w:rFonts w:hint="eastAsia" w:asciiTheme="minorEastAsia" w:hAnsiTheme="minorEastAsia" w:eastAsiaTheme="minorEastAsia" w:cstheme="minorEastAsia"/>
          <w:b/>
          <w:bCs/>
        </w:rPr>
        <w:tab/>
      </w:r>
      <w:r>
        <w:rPr>
          <w:rFonts w:hint="eastAsia" w:asciiTheme="minorEastAsia" w:hAnsiTheme="minorEastAsia" w:eastAsiaTheme="minorEastAsia" w:cstheme="minorEastAsia"/>
          <w:b/>
          <w:bCs/>
        </w:rPr>
        <w:fldChar w:fldCharType="begin"/>
      </w:r>
      <w:r>
        <w:rPr>
          <w:rFonts w:hint="eastAsia" w:asciiTheme="minorEastAsia" w:hAnsiTheme="minorEastAsia" w:eastAsiaTheme="minorEastAsia" w:cstheme="minorEastAsia"/>
          <w:b/>
          <w:bCs/>
        </w:rPr>
        <w:instrText xml:space="preserve"> PAGEREF _Toc29729 </w:instrText>
      </w:r>
      <w:r>
        <w:rPr>
          <w:rFonts w:hint="eastAsia" w:asciiTheme="minorEastAsia" w:hAnsiTheme="minorEastAsia" w:eastAsiaTheme="minorEastAsia" w:cstheme="minorEastAsia"/>
          <w:b/>
          <w:bCs/>
        </w:rPr>
        <w:fldChar w:fldCharType="separate"/>
      </w:r>
      <w:r>
        <w:rPr>
          <w:rFonts w:hint="eastAsia" w:asciiTheme="minorEastAsia" w:hAnsiTheme="minorEastAsia" w:eastAsiaTheme="minorEastAsia" w:cstheme="minorEastAsia"/>
          <w:b/>
          <w:bCs/>
        </w:rPr>
        <w:t>43</w:t>
      </w:r>
      <w:r>
        <w:rPr>
          <w:rFonts w:hint="eastAsia" w:asciiTheme="minorEastAsia" w:hAnsiTheme="minorEastAsia" w:eastAsiaTheme="minorEastAsia" w:cstheme="minorEastAsia"/>
          <w:b/>
          <w:bCs/>
        </w:rPr>
        <w:fldChar w:fldCharType="end"/>
      </w:r>
      <w:r>
        <w:rPr>
          <w:rFonts w:hint="eastAsia" w:asciiTheme="minorEastAsia" w:hAnsiTheme="minorEastAsia" w:eastAsiaTheme="minorEastAsia" w:cstheme="minorEastAsia"/>
          <w:b/>
          <w:bCs/>
          <w:highlight w:val="none"/>
        </w:rPr>
        <w:fldChar w:fldCharType="end"/>
      </w:r>
    </w:p>
    <w:p>
      <w:pPr>
        <w:pStyle w:val="37"/>
        <w:tabs>
          <w:tab w:val="right" w:leader="dot" w:pos="9412"/>
          <w:tab w:val="clear" w:pos="9402"/>
        </w:tabs>
        <w:spacing w:line="480" w:lineRule="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highlight w:val="none"/>
        </w:rPr>
        <w:fldChar w:fldCharType="begin"/>
      </w:r>
      <w:r>
        <w:rPr>
          <w:rFonts w:hint="eastAsia" w:asciiTheme="minorEastAsia" w:hAnsiTheme="minorEastAsia" w:eastAsiaTheme="minorEastAsia" w:cstheme="minorEastAsia"/>
          <w:b/>
          <w:bCs/>
          <w:highlight w:val="none"/>
        </w:rPr>
        <w:instrText xml:space="preserve"> HYPERLINK \l _Toc16867 </w:instrText>
      </w:r>
      <w:r>
        <w:rPr>
          <w:rFonts w:hint="eastAsia" w:asciiTheme="minorEastAsia" w:hAnsiTheme="minorEastAsia" w:eastAsiaTheme="minorEastAsia" w:cstheme="minorEastAsia"/>
          <w:b/>
          <w:bCs/>
          <w:highlight w:val="none"/>
        </w:rPr>
        <w:fldChar w:fldCharType="separate"/>
      </w:r>
      <w:r>
        <w:rPr>
          <w:rFonts w:hint="eastAsia" w:asciiTheme="minorEastAsia" w:hAnsiTheme="minorEastAsia" w:eastAsiaTheme="minorEastAsia" w:cstheme="minorEastAsia"/>
          <w:b/>
          <w:bCs/>
          <w:szCs w:val="21"/>
          <w:highlight w:val="none"/>
        </w:rPr>
        <w:t xml:space="preserve">8. </w:t>
      </w:r>
      <w:r>
        <w:rPr>
          <w:rFonts w:hint="eastAsia" w:asciiTheme="minorEastAsia" w:hAnsiTheme="minorEastAsia" w:eastAsiaTheme="minorEastAsia" w:cstheme="minorEastAsia"/>
          <w:b/>
          <w:bCs/>
          <w:szCs w:val="21"/>
          <w:highlight w:val="none"/>
          <w:lang w:val="en-US" w:eastAsia="zh-CN"/>
        </w:rPr>
        <w:t>用户</w:t>
      </w:r>
      <w:r>
        <w:rPr>
          <w:rFonts w:hint="eastAsia" w:asciiTheme="minorEastAsia" w:hAnsiTheme="minorEastAsia" w:eastAsiaTheme="minorEastAsia" w:cstheme="minorEastAsia"/>
          <w:b/>
          <w:bCs/>
          <w:szCs w:val="21"/>
          <w:highlight w:val="none"/>
        </w:rPr>
        <w:t>需求一般条款偏离表</w:t>
      </w:r>
      <w:r>
        <w:rPr>
          <w:rFonts w:hint="eastAsia" w:asciiTheme="minorEastAsia" w:hAnsiTheme="minorEastAsia" w:eastAsiaTheme="minorEastAsia" w:cstheme="minorEastAsia"/>
          <w:b/>
          <w:bCs/>
        </w:rPr>
        <w:tab/>
      </w:r>
      <w:r>
        <w:rPr>
          <w:rFonts w:hint="eastAsia" w:asciiTheme="minorEastAsia" w:hAnsiTheme="minorEastAsia" w:eastAsiaTheme="minorEastAsia" w:cstheme="minorEastAsia"/>
          <w:b/>
          <w:bCs/>
        </w:rPr>
        <w:fldChar w:fldCharType="begin"/>
      </w:r>
      <w:r>
        <w:rPr>
          <w:rFonts w:hint="eastAsia" w:asciiTheme="minorEastAsia" w:hAnsiTheme="minorEastAsia" w:eastAsiaTheme="minorEastAsia" w:cstheme="minorEastAsia"/>
          <w:b/>
          <w:bCs/>
        </w:rPr>
        <w:instrText xml:space="preserve"> PAGEREF _Toc16867 </w:instrText>
      </w:r>
      <w:r>
        <w:rPr>
          <w:rFonts w:hint="eastAsia" w:asciiTheme="minorEastAsia" w:hAnsiTheme="minorEastAsia" w:eastAsiaTheme="minorEastAsia" w:cstheme="minorEastAsia"/>
          <w:b/>
          <w:bCs/>
        </w:rPr>
        <w:fldChar w:fldCharType="separate"/>
      </w:r>
      <w:r>
        <w:rPr>
          <w:rFonts w:hint="eastAsia" w:asciiTheme="minorEastAsia" w:hAnsiTheme="minorEastAsia" w:eastAsiaTheme="minorEastAsia" w:cstheme="minorEastAsia"/>
          <w:b/>
          <w:bCs/>
        </w:rPr>
        <w:t>44</w:t>
      </w:r>
      <w:r>
        <w:rPr>
          <w:rFonts w:hint="eastAsia" w:asciiTheme="minorEastAsia" w:hAnsiTheme="minorEastAsia" w:eastAsiaTheme="minorEastAsia" w:cstheme="minorEastAsia"/>
          <w:b/>
          <w:bCs/>
        </w:rPr>
        <w:fldChar w:fldCharType="end"/>
      </w:r>
      <w:r>
        <w:rPr>
          <w:rFonts w:hint="eastAsia" w:asciiTheme="minorEastAsia" w:hAnsiTheme="minorEastAsia" w:eastAsiaTheme="minorEastAsia" w:cstheme="minorEastAsia"/>
          <w:b/>
          <w:bCs/>
          <w:highlight w:val="none"/>
        </w:rPr>
        <w:fldChar w:fldCharType="end"/>
      </w:r>
    </w:p>
    <w:p>
      <w:pPr>
        <w:pStyle w:val="37"/>
        <w:tabs>
          <w:tab w:val="right" w:leader="dot" w:pos="9412"/>
          <w:tab w:val="clear" w:pos="9402"/>
        </w:tabs>
        <w:spacing w:line="480" w:lineRule="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highlight w:val="none"/>
        </w:rPr>
        <w:fldChar w:fldCharType="begin"/>
      </w:r>
      <w:r>
        <w:rPr>
          <w:rFonts w:hint="eastAsia" w:asciiTheme="minorEastAsia" w:hAnsiTheme="minorEastAsia" w:eastAsiaTheme="minorEastAsia" w:cstheme="minorEastAsia"/>
          <w:b/>
          <w:bCs/>
          <w:highlight w:val="none"/>
        </w:rPr>
        <w:instrText xml:space="preserve"> HYPERLINK \l _Toc27096 </w:instrText>
      </w:r>
      <w:r>
        <w:rPr>
          <w:rFonts w:hint="eastAsia" w:asciiTheme="minorEastAsia" w:hAnsiTheme="minorEastAsia" w:eastAsiaTheme="minorEastAsia" w:cstheme="minorEastAsia"/>
          <w:b/>
          <w:bCs/>
          <w:highlight w:val="none"/>
        </w:rPr>
        <w:fldChar w:fldCharType="separate"/>
      </w:r>
      <w:r>
        <w:rPr>
          <w:rFonts w:hint="eastAsia" w:asciiTheme="minorEastAsia" w:hAnsiTheme="minorEastAsia" w:eastAsiaTheme="minorEastAsia" w:cstheme="minorEastAsia"/>
          <w:b/>
          <w:bCs/>
          <w:szCs w:val="21"/>
          <w:highlight w:val="none"/>
        </w:rPr>
        <w:t>9.实施计划</w:t>
      </w:r>
      <w:r>
        <w:rPr>
          <w:rFonts w:hint="eastAsia" w:asciiTheme="minorEastAsia" w:hAnsiTheme="minorEastAsia" w:eastAsiaTheme="minorEastAsia" w:cstheme="minorEastAsia"/>
          <w:b/>
          <w:bCs/>
        </w:rPr>
        <w:tab/>
      </w:r>
      <w:r>
        <w:rPr>
          <w:rFonts w:hint="eastAsia" w:asciiTheme="minorEastAsia" w:hAnsiTheme="minorEastAsia" w:eastAsiaTheme="minorEastAsia" w:cstheme="minorEastAsia"/>
          <w:b/>
          <w:bCs/>
        </w:rPr>
        <w:fldChar w:fldCharType="begin"/>
      </w:r>
      <w:r>
        <w:rPr>
          <w:rFonts w:hint="eastAsia" w:asciiTheme="minorEastAsia" w:hAnsiTheme="minorEastAsia" w:eastAsiaTheme="minorEastAsia" w:cstheme="minorEastAsia"/>
          <w:b/>
          <w:bCs/>
        </w:rPr>
        <w:instrText xml:space="preserve"> PAGEREF _Toc27096 </w:instrText>
      </w:r>
      <w:r>
        <w:rPr>
          <w:rFonts w:hint="eastAsia" w:asciiTheme="minorEastAsia" w:hAnsiTheme="minorEastAsia" w:eastAsiaTheme="minorEastAsia" w:cstheme="minorEastAsia"/>
          <w:b/>
          <w:bCs/>
        </w:rPr>
        <w:fldChar w:fldCharType="separate"/>
      </w:r>
      <w:r>
        <w:rPr>
          <w:rFonts w:hint="eastAsia" w:asciiTheme="minorEastAsia" w:hAnsiTheme="minorEastAsia" w:eastAsiaTheme="minorEastAsia" w:cstheme="minorEastAsia"/>
          <w:b/>
          <w:bCs/>
        </w:rPr>
        <w:t>45</w:t>
      </w:r>
      <w:r>
        <w:rPr>
          <w:rFonts w:hint="eastAsia" w:asciiTheme="minorEastAsia" w:hAnsiTheme="minorEastAsia" w:eastAsiaTheme="minorEastAsia" w:cstheme="minorEastAsia"/>
          <w:b/>
          <w:bCs/>
        </w:rPr>
        <w:fldChar w:fldCharType="end"/>
      </w:r>
      <w:r>
        <w:rPr>
          <w:rFonts w:hint="eastAsia" w:asciiTheme="minorEastAsia" w:hAnsiTheme="minorEastAsia" w:eastAsiaTheme="minorEastAsia" w:cstheme="minorEastAsia"/>
          <w:b/>
          <w:bCs/>
          <w:highlight w:val="none"/>
        </w:rPr>
        <w:fldChar w:fldCharType="end"/>
      </w:r>
    </w:p>
    <w:p>
      <w:pPr>
        <w:pStyle w:val="37"/>
        <w:tabs>
          <w:tab w:val="right" w:leader="dot" w:pos="9412"/>
          <w:tab w:val="clear" w:pos="9402"/>
        </w:tabs>
        <w:spacing w:line="480" w:lineRule="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highlight w:val="none"/>
        </w:rPr>
        <w:fldChar w:fldCharType="begin"/>
      </w:r>
      <w:r>
        <w:rPr>
          <w:rFonts w:hint="eastAsia" w:asciiTheme="minorEastAsia" w:hAnsiTheme="minorEastAsia" w:eastAsiaTheme="minorEastAsia" w:cstheme="minorEastAsia"/>
          <w:b/>
          <w:bCs/>
          <w:highlight w:val="none"/>
        </w:rPr>
        <w:instrText xml:space="preserve"> HYPERLINK \l _Toc15161 </w:instrText>
      </w:r>
      <w:r>
        <w:rPr>
          <w:rFonts w:hint="eastAsia" w:asciiTheme="minorEastAsia" w:hAnsiTheme="minorEastAsia" w:eastAsiaTheme="minorEastAsia" w:cstheme="minorEastAsia"/>
          <w:b/>
          <w:bCs/>
          <w:highlight w:val="none"/>
        </w:rPr>
        <w:fldChar w:fldCharType="separate"/>
      </w:r>
      <w:r>
        <w:rPr>
          <w:rFonts w:hint="eastAsia" w:asciiTheme="minorEastAsia" w:hAnsiTheme="minorEastAsia" w:eastAsiaTheme="minorEastAsia" w:cstheme="minorEastAsia"/>
          <w:b/>
          <w:bCs/>
          <w:szCs w:val="21"/>
          <w:highlight w:val="none"/>
        </w:rPr>
        <w:t>10.供应商认为有必要说明的其他资料</w:t>
      </w:r>
      <w:r>
        <w:rPr>
          <w:rFonts w:hint="eastAsia" w:asciiTheme="minorEastAsia" w:hAnsiTheme="minorEastAsia" w:eastAsiaTheme="minorEastAsia" w:cstheme="minorEastAsia"/>
          <w:b/>
          <w:bCs/>
        </w:rPr>
        <w:tab/>
      </w:r>
      <w:r>
        <w:rPr>
          <w:rFonts w:hint="eastAsia" w:asciiTheme="minorEastAsia" w:hAnsiTheme="minorEastAsia" w:eastAsiaTheme="minorEastAsia" w:cstheme="minorEastAsia"/>
          <w:b/>
          <w:bCs/>
        </w:rPr>
        <w:fldChar w:fldCharType="begin"/>
      </w:r>
      <w:r>
        <w:rPr>
          <w:rFonts w:hint="eastAsia" w:asciiTheme="minorEastAsia" w:hAnsiTheme="minorEastAsia" w:eastAsiaTheme="minorEastAsia" w:cstheme="minorEastAsia"/>
          <w:b/>
          <w:bCs/>
        </w:rPr>
        <w:instrText xml:space="preserve"> PAGEREF _Toc15161 </w:instrText>
      </w:r>
      <w:r>
        <w:rPr>
          <w:rFonts w:hint="eastAsia" w:asciiTheme="minorEastAsia" w:hAnsiTheme="minorEastAsia" w:eastAsiaTheme="minorEastAsia" w:cstheme="minorEastAsia"/>
          <w:b/>
          <w:bCs/>
        </w:rPr>
        <w:fldChar w:fldCharType="separate"/>
      </w:r>
      <w:r>
        <w:rPr>
          <w:rFonts w:hint="eastAsia" w:asciiTheme="minorEastAsia" w:hAnsiTheme="minorEastAsia" w:eastAsiaTheme="minorEastAsia" w:cstheme="minorEastAsia"/>
          <w:b/>
          <w:bCs/>
        </w:rPr>
        <w:t>45</w:t>
      </w:r>
      <w:r>
        <w:rPr>
          <w:rFonts w:hint="eastAsia" w:asciiTheme="minorEastAsia" w:hAnsiTheme="minorEastAsia" w:eastAsiaTheme="minorEastAsia" w:cstheme="minorEastAsia"/>
          <w:b/>
          <w:bCs/>
        </w:rPr>
        <w:fldChar w:fldCharType="end"/>
      </w:r>
      <w:r>
        <w:rPr>
          <w:rFonts w:hint="eastAsia" w:asciiTheme="minorEastAsia" w:hAnsiTheme="minorEastAsia" w:eastAsiaTheme="minorEastAsia" w:cstheme="minorEastAsia"/>
          <w:b/>
          <w:bCs/>
          <w:highlight w:val="none"/>
        </w:rPr>
        <w:fldChar w:fldCharType="end"/>
      </w:r>
    </w:p>
    <w:p>
      <w:pPr>
        <w:pStyle w:val="37"/>
        <w:tabs>
          <w:tab w:val="right" w:leader="dot" w:pos="9412"/>
          <w:tab w:val="clear" w:pos="9402"/>
        </w:tabs>
        <w:spacing w:line="480" w:lineRule="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highlight w:val="none"/>
        </w:rPr>
        <w:fldChar w:fldCharType="begin"/>
      </w:r>
      <w:r>
        <w:rPr>
          <w:rFonts w:hint="eastAsia" w:asciiTheme="minorEastAsia" w:hAnsiTheme="minorEastAsia" w:eastAsiaTheme="minorEastAsia" w:cstheme="minorEastAsia"/>
          <w:b/>
          <w:bCs/>
          <w:highlight w:val="none"/>
        </w:rPr>
        <w:instrText xml:space="preserve"> HYPERLINK \l _Toc13446 </w:instrText>
      </w:r>
      <w:r>
        <w:rPr>
          <w:rFonts w:hint="eastAsia" w:asciiTheme="minorEastAsia" w:hAnsiTheme="minorEastAsia" w:eastAsiaTheme="minorEastAsia" w:cstheme="minorEastAsia"/>
          <w:b/>
          <w:bCs/>
          <w:highlight w:val="none"/>
        </w:rPr>
        <w:fldChar w:fldCharType="separate"/>
      </w:r>
      <w:r>
        <w:rPr>
          <w:rFonts w:hint="eastAsia" w:asciiTheme="minorEastAsia" w:hAnsiTheme="minorEastAsia" w:eastAsiaTheme="minorEastAsia" w:cstheme="minorEastAsia"/>
          <w:b/>
          <w:bCs/>
          <w:szCs w:val="21"/>
          <w:highlight w:val="none"/>
        </w:rPr>
        <w:t>11.成交服务费支付承诺书格式</w:t>
      </w:r>
      <w:r>
        <w:rPr>
          <w:rFonts w:hint="eastAsia" w:asciiTheme="minorEastAsia" w:hAnsiTheme="minorEastAsia" w:eastAsiaTheme="minorEastAsia" w:cstheme="minorEastAsia"/>
          <w:b/>
          <w:bCs/>
        </w:rPr>
        <w:tab/>
      </w:r>
      <w:r>
        <w:rPr>
          <w:rFonts w:hint="eastAsia" w:asciiTheme="minorEastAsia" w:hAnsiTheme="minorEastAsia" w:eastAsiaTheme="minorEastAsia" w:cstheme="minorEastAsia"/>
          <w:b/>
          <w:bCs/>
        </w:rPr>
        <w:fldChar w:fldCharType="begin"/>
      </w:r>
      <w:r>
        <w:rPr>
          <w:rFonts w:hint="eastAsia" w:asciiTheme="minorEastAsia" w:hAnsiTheme="minorEastAsia" w:eastAsiaTheme="minorEastAsia" w:cstheme="minorEastAsia"/>
          <w:b/>
          <w:bCs/>
        </w:rPr>
        <w:instrText xml:space="preserve"> PAGEREF _Toc13446 </w:instrText>
      </w:r>
      <w:r>
        <w:rPr>
          <w:rFonts w:hint="eastAsia" w:asciiTheme="minorEastAsia" w:hAnsiTheme="minorEastAsia" w:eastAsiaTheme="minorEastAsia" w:cstheme="minorEastAsia"/>
          <w:b/>
          <w:bCs/>
        </w:rPr>
        <w:fldChar w:fldCharType="separate"/>
      </w:r>
      <w:r>
        <w:rPr>
          <w:rFonts w:hint="eastAsia" w:asciiTheme="minorEastAsia" w:hAnsiTheme="minorEastAsia" w:eastAsiaTheme="minorEastAsia" w:cstheme="minorEastAsia"/>
          <w:b/>
          <w:bCs/>
        </w:rPr>
        <w:t>46</w:t>
      </w:r>
      <w:r>
        <w:rPr>
          <w:rFonts w:hint="eastAsia" w:asciiTheme="minorEastAsia" w:hAnsiTheme="minorEastAsia" w:eastAsiaTheme="minorEastAsia" w:cstheme="minorEastAsia"/>
          <w:b/>
          <w:bCs/>
        </w:rPr>
        <w:fldChar w:fldCharType="end"/>
      </w:r>
      <w:r>
        <w:rPr>
          <w:rFonts w:hint="eastAsia" w:asciiTheme="minorEastAsia" w:hAnsiTheme="minorEastAsia" w:eastAsiaTheme="minorEastAsia" w:cstheme="minorEastAsia"/>
          <w:b/>
          <w:bCs/>
          <w:highlight w:val="none"/>
        </w:rPr>
        <w:fldChar w:fldCharType="end"/>
      </w:r>
    </w:p>
    <w:p>
      <w:pPr>
        <w:pStyle w:val="37"/>
        <w:tabs>
          <w:tab w:val="right" w:leader="dot" w:pos="9412"/>
          <w:tab w:val="clear" w:pos="9402"/>
        </w:tabs>
        <w:spacing w:line="480" w:lineRule="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highlight w:val="none"/>
        </w:rPr>
        <w:fldChar w:fldCharType="begin"/>
      </w:r>
      <w:r>
        <w:rPr>
          <w:rFonts w:hint="eastAsia" w:asciiTheme="minorEastAsia" w:hAnsiTheme="minorEastAsia" w:eastAsiaTheme="minorEastAsia" w:cstheme="minorEastAsia"/>
          <w:b/>
          <w:bCs/>
          <w:highlight w:val="none"/>
        </w:rPr>
        <w:instrText xml:space="preserve"> HYPERLINK \l _Toc25796 </w:instrText>
      </w:r>
      <w:r>
        <w:rPr>
          <w:rFonts w:hint="eastAsia" w:asciiTheme="minorEastAsia" w:hAnsiTheme="minorEastAsia" w:eastAsiaTheme="minorEastAsia" w:cstheme="minorEastAsia"/>
          <w:b/>
          <w:bCs/>
          <w:highlight w:val="none"/>
        </w:rPr>
        <w:fldChar w:fldCharType="separate"/>
      </w:r>
      <w:r>
        <w:rPr>
          <w:rFonts w:hint="eastAsia" w:asciiTheme="minorEastAsia" w:hAnsiTheme="minorEastAsia" w:eastAsiaTheme="minorEastAsia" w:cstheme="minorEastAsia"/>
          <w:b/>
          <w:bCs/>
          <w:szCs w:val="21"/>
          <w:highlight w:val="none"/>
        </w:rPr>
        <w:t>12.磋商保证金凭证信封</w:t>
      </w:r>
      <w:r>
        <w:rPr>
          <w:rFonts w:hint="eastAsia" w:asciiTheme="minorEastAsia" w:hAnsiTheme="minorEastAsia" w:eastAsiaTheme="minorEastAsia" w:cstheme="minorEastAsia"/>
          <w:b/>
          <w:bCs/>
        </w:rPr>
        <w:tab/>
      </w:r>
      <w:r>
        <w:rPr>
          <w:rFonts w:hint="eastAsia" w:asciiTheme="minorEastAsia" w:hAnsiTheme="minorEastAsia" w:eastAsiaTheme="minorEastAsia" w:cstheme="minorEastAsia"/>
          <w:b/>
          <w:bCs/>
        </w:rPr>
        <w:fldChar w:fldCharType="begin"/>
      </w:r>
      <w:r>
        <w:rPr>
          <w:rFonts w:hint="eastAsia" w:asciiTheme="minorEastAsia" w:hAnsiTheme="minorEastAsia" w:eastAsiaTheme="minorEastAsia" w:cstheme="minorEastAsia"/>
          <w:b/>
          <w:bCs/>
        </w:rPr>
        <w:instrText xml:space="preserve"> PAGEREF _Toc25796 </w:instrText>
      </w:r>
      <w:r>
        <w:rPr>
          <w:rFonts w:hint="eastAsia" w:asciiTheme="minorEastAsia" w:hAnsiTheme="minorEastAsia" w:eastAsiaTheme="minorEastAsia" w:cstheme="minorEastAsia"/>
          <w:b/>
          <w:bCs/>
        </w:rPr>
        <w:fldChar w:fldCharType="separate"/>
      </w:r>
      <w:r>
        <w:rPr>
          <w:rFonts w:hint="eastAsia" w:asciiTheme="minorEastAsia" w:hAnsiTheme="minorEastAsia" w:eastAsiaTheme="minorEastAsia" w:cstheme="minorEastAsia"/>
          <w:b/>
          <w:bCs/>
        </w:rPr>
        <w:t>47</w:t>
      </w:r>
      <w:r>
        <w:rPr>
          <w:rFonts w:hint="eastAsia" w:asciiTheme="minorEastAsia" w:hAnsiTheme="minorEastAsia" w:eastAsiaTheme="minorEastAsia" w:cstheme="minorEastAsia"/>
          <w:b/>
          <w:bCs/>
        </w:rPr>
        <w:fldChar w:fldCharType="end"/>
      </w:r>
      <w:r>
        <w:rPr>
          <w:rFonts w:hint="eastAsia" w:asciiTheme="minorEastAsia" w:hAnsiTheme="minorEastAsia" w:eastAsiaTheme="minorEastAsia" w:cstheme="minorEastAsia"/>
          <w:b/>
          <w:bCs/>
          <w:highlight w:val="none"/>
        </w:rPr>
        <w:fldChar w:fldCharType="end"/>
      </w:r>
    </w:p>
    <w:p>
      <w:pPr>
        <w:pStyle w:val="37"/>
        <w:tabs>
          <w:tab w:val="right" w:leader="dot" w:pos="9412"/>
          <w:tab w:val="clear" w:pos="9402"/>
        </w:tabs>
        <w:spacing w:line="480" w:lineRule="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highlight w:val="none"/>
        </w:rPr>
        <w:fldChar w:fldCharType="begin"/>
      </w:r>
      <w:r>
        <w:rPr>
          <w:rFonts w:hint="eastAsia" w:asciiTheme="minorEastAsia" w:hAnsiTheme="minorEastAsia" w:eastAsiaTheme="minorEastAsia" w:cstheme="minorEastAsia"/>
          <w:b/>
          <w:bCs/>
          <w:highlight w:val="none"/>
        </w:rPr>
        <w:instrText xml:space="preserve"> HYPERLINK \l _Toc4684 </w:instrText>
      </w:r>
      <w:r>
        <w:rPr>
          <w:rFonts w:hint="eastAsia" w:asciiTheme="minorEastAsia" w:hAnsiTheme="minorEastAsia" w:eastAsiaTheme="minorEastAsia" w:cstheme="minorEastAsia"/>
          <w:b/>
          <w:bCs/>
          <w:highlight w:val="none"/>
        </w:rPr>
        <w:fldChar w:fldCharType="separate"/>
      </w:r>
      <w:r>
        <w:rPr>
          <w:rFonts w:hint="eastAsia" w:asciiTheme="minorEastAsia" w:hAnsiTheme="minorEastAsia" w:eastAsiaTheme="minorEastAsia" w:cstheme="minorEastAsia"/>
          <w:b/>
          <w:bCs/>
          <w:szCs w:val="21"/>
          <w:highlight w:val="none"/>
        </w:rPr>
        <w:t>13.退磋商保证金说明</w:t>
      </w:r>
      <w:r>
        <w:rPr>
          <w:rFonts w:hint="eastAsia" w:asciiTheme="minorEastAsia" w:hAnsiTheme="minorEastAsia" w:eastAsiaTheme="minorEastAsia" w:cstheme="minorEastAsia"/>
          <w:b/>
          <w:bCs/>
        </w:rPr>
        <w:tab/>
      </w:r>
      <w:r>
        <w:rPr>
          <w:rFonts w:hint="eastAsia" w:asciiTheme="minorEastAsia" w:hAnsiTheme="minorEastAsia" w:eastAsiaTheme="minorEastAsia" w:cstheme="minorEastAsia"/>
          <w:b/>
          <w:bCs/>
        </w:rPr>
        <w:fldChar w:fldCharType="begin"/>
      </w:r>
      <w:r>
        <w:rPr>
          <w:rFonts w:hint="eastAsia" w:asciiTheme="minorEastAsia" w:hAnsiTheme="minorEastAsia" w:eastAsiaTheme="minorEastAsia" w:cstheme="minorEastAsia"/>
          <w:b/>
          <w:bCs/>
        </w:rPr>
        <w:instrText xml:space="preserve"> PAGEREF _Toc4684 </w:instrText>
      </w:r>
      <w:r>
        <w:rPr>
          <w:rFonts w:hint="eastAsia" w:asciiTheme="minorEastAsia" w:hAnsiTheme="minorEastAsia" w:eastAsiaTheme="minorEastAsia" w:cstheme="minorEastAsia"/>
          <w:b/>
          <w:bCs/>
        </w:rPr>
        <w:fldChar w:fldCharType="separate"/>
      </w:r>
      <w:r>
        <w:rPr>
          <w:rFonts w:hint="eastAsia" w:asciiTheme="minorEastAsia" w:hAnsiTheme="minorEastAsia" w:eastAsiaTheme="minorEastAsia" w:cstheme="minorEastAsia"/>
          <w:b/>
          <w:bCs/>
        </w:rPr>
        <w:t>48</w:t>
      </w:r>
      <w:r>
        <w:rPr>
          <w:rFonts w:hint="eastAsia" w:asciiTheme="minorEastAsia" w:hAnsiTheme="minorEastAsia" w:eastAsiaTheme="minorEastAsia" w:cstheme="minorEastAsia"/>
          <w:b/>
          <w:bCs/>
        </w:rPr>
        <w:fldChar w:fldCharType="end"/>
      </w:r>
      <w:r>
        <w:rPr>
          <w:rFonts w:hint="eastAsia" w:asciiTheme="minorEastAsia" w:hAnsiTheme="minorEastAsia" w:eastAsiaTheme="minorEastAsia" w:cstheme="minorEastAsia"/>
          <w:b/>
          <w:bCs/>
          <w:highlight w:val="none"/>
        </w:rPr>
        <w:fldChar w:fldCharType="end"/>
      </w:r>
    </w:p>
    <w:p>
      <w:pPr>
        <w:pStyle w:val="37"/>
        <w:tabs>
          <w:tab w:val="right" w:leader="dot" w:pos="9412"/>
          <w:tab w:val="clear" w:pos="9402"/>
        </w:tabs>
        <w:spacing w:line="480" w:lineRule="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highlight w:val="none"/>
        </w:rPr>
        <w:fldChar w:fldCharType="begin"/>
      </w:r>
      <w:r>
        <w:rPr>
          <w:rFonts w:hint="eastAsia" w:asciiTheme="minorEastAsia" w:hAnsiTheme="minorEastAsia" w:eastAsiaTheme="minorEastAsia" w:cstheme="minorEastAsia"/>
          <w:b/>
          <w:bCs/>
          <w:highlight w:val="none"/>
        </w:rPr>
        <w:instrText xml:space="preserve"> HYPERLINK \l _Toc22240 </w:instrText>
      </w:r>
      <w:r>
        <w:rPr>
          <w:rFonts w:hint="eastAsia" w:asciiTheme="minorEastAsia" w:hAnsiTheme="minorEastAsia" w:eastAsiaTheme="minorEastAsia" w:cstheme="minorEastAsia"/>
          <w:b/>
          <w:bCs/>
          <w:highlight w:val="none"/>
        </w:rPr>
        <w:fldChar w:fldCharType="separate"/>
      </w:r>
      <w:r>
        <w:rPr>
          <w:rFonts w:hint="eastAsia" w:asciiTheme="minorEastAsia" w:hAnsiTheme="minorEastAsia" w:eastAsiaTheme="minorEastAsia" w:cstheme="minorEastAsia"/>
          <w:b/>
          <w:bCs/>
          <w:szCs w:val="21"/>
          <w:highlight w:val="none"/>
        </w:rPr>
        <w:t>14.承诺函</w:t>
      </w:r>
      <w:r>
        <w:rPr>
          <w:rFonts w:hint="eastAsia" w:asciiTheme="minorEastAsia" w:hAnsiTheme="minorEastAsia" w:eastAsiaTheme="minorEastAsia" w:cstheme="minorEastAsia"/>
          <w:b/>
          <w:bCs/>
        </w:rPr>
        <w:tab/>
      </w:r>
      <w:r>
        <w:rPr>
          <w:rFonts w:hint="eastAsia" w:asciiTheme="minorEastAsia" w:hAnsiTheme="minorEastAsia" w:eastAsiaTheme="minorEastAsia" w:cstheme="minorEastAsia"/>
          <w:b/>
          <w:bCs/>
        </w:rPr>
        <w:fldChar w:fldCharType="begin"/>
      </w:r>
      <w:r>
        <w:rPr>
          <w:rFonts w:hint="eastAsia" w:asciiTheme="minorEastAsia" w:hAnsiTheme="minorEastAsia" w:eastAsiaTheme="minorEastAsia" w:cstheme="minorEastAsia"/>
          <w:b/>
          <w:bCs/>
        </w:rPr>
        <w:instrText xml:space="preserve"> PAGEREF _Toc22240 </w:instrText>
      </w:r>
      <w:r>
        <w:rPr>
          <w:rFonts w:hint="eastAsia" w:asciiTheme="minorEastAsia" w:hAnsiTheme="minorEastAsia" w:eastAsiaTheme="minorEastAsia" w:cstheme="minorEastAsia"/>
          <w:b/>
          <w:bCs/>
        </w:rPr>
        <w:fldChar w:fldCharType="separate"/>
      </w:r>
      <w:r>
        <w:rPr>
          <w:rFonts w:hint="eastAsia" w:asciiTheme="minorEastAsia" w:hAnsiTheme="minorEastAsia" w:eastAsiaTheme="minorEastAsia" w:cstheme="minorEastAsia"/>
          <w:b/>
          <w:bCs/>
        </w:rPr>
        <w:t>49</w:t>
      </w:r>
      <w:r>
        <w:rPr>
          <w:rFonts w:hint="eastAsia" w:asciiTheme="minorEastAsia" w:hAnsiTheme="minorEastAsia" w:eastAsiaTheme="minorEastAsia" w:cstheme="minorEastAsia"/>
          <w:b/>
          <w:bCs/>
        </w:rPr>
        <w:fldChar w:fldCharType="end"/>
      </w:r>
      <w:r>
        <w:rPr>
          <w:rFonts w:hint="eastAsia" w:asciiTheme="minorEastAsia" w:hAnsiTheme="minorEastAsia" w:eastAsiaTheme="minorEastAsia" w:cstheme="minorEastAsia"/>
          <w:b/>
          <w:bCs/>
          <w:highlight w:val="none"/>
        </w:rPr>
        <w:fldChar w:fldCharType="end"/>
      </w:r>
    </w:p>
    <w:p>
      <w:pPr>
        <w:spacing w:line="360" w:lineRule="auto"/>
        <w:rPr>
          <w:rFonts w:ascii="宋体" w:hAnsi="宋体" w:cs="宋体"/>
          <w:b/>
          <w:highlight w:val="none"/>
        </w:rPr>
      </w:pPr>
      <w:r>
        <w:rPr>
          <w:rFonts w:hint="eastAsia" w:ascii="宋体" w:hAnsi="宋体" w:cs="宋体"/>
          <w:highlight w:val="none"/>
        </w:rPr>
        <w:fldChar w:fldCharType="end"/>
      </w:r>
    </w:p>
    <w:p>
      <w:pPr>
        <w:spacing w:line="360" w:lineRule="auto"/>
        <w:rPr>
          <w:rFonts w:ascii="宋体" w:hAnsi="宋体" w:cs="宋体"/>
          <w:highlight w:val="none"/>
        </w:rPr>
      </w:pPr>
    </w:p>
    <w:p>
      <w:pPr>
        <w:adjustRightInd w:val="0"/>
        <w:snapToGrid w:val="0"/>
        <w:spacing w:line="360" w:lineRule="auto"/>
        <w:jc w:val="center"/>
        <w:rPr>
          <w:rFonts w:ascii="宋体" w:hAnsi="宋体" w:cs="宋体"/>
          <w:b/>
          <w:szCs w:val="21"/>
          <w:highlight w:val="none"/>
        </w:rPr>
      </w:pPr>
    </w:p>
    <w:p>
      <w:pPr>
        <w:spacing w:line="360" w:lineRule="auto"/>
        <w:rPr>
          <w:rFonts w:ascii="宋体" w:hAnsi="宋体" w:cs="宋体"/>
          <w:szCs w:val="21"/>
          <w:highlight w:val="none"/>
        </w:rPr>
      </w:pPr>
      <w:r>
        <w:rPr>
          <w:rFonts w:hint="eastAsia" w:ascii="宋体" w:hAnsi="宋体" w:cs="宋体"/>
          <w:szCs w:val="21"/>
          <w:highlight w:val="none"/>
        </w:rPr>
        <w:br w:type="page"/>
      </w:r>
    </w:p>
    <w:p>
      <w:pPr>
        <w:spacing w:line="360" w:lineRule="auto"/>
        <w:rPr>
          <w:rFonts w:ascii="宋体" w:hAnsi="宋体" w:cs="宋体"/>
          <w:szCs w:val="21"/>
          <w:highlight w:val="none"/>
        </w:rPr>
      </w:pPr>
    </w:p>
    <w:p>
      <w:pPr>
        <w:pStyle w:val="23"/>
        <w:tabs>
          <w:tab w:val="left" w:pos="1260"/>
        </w:tabs>
        <w:spacing w:line="360" w:lineRule="auto"/>
        <w:jc w:val="center"/>
        <w:rPr>
          <w:rFonts w:hAnsi="宋体" w:cs="宋体"/>
          <w:b/>
          <w:spacing w:val="100"/>
          <w:w w:val="110"/>
          <w:sz w:val="48"/>
          <w:szCs w:val="48"/>
          <w:highlight w:val="none"/>
        </w:rPr>
      </w:pPr>
    </w:p>
    <w:p>
      <w:pPr>
        <w:pStyle w:val="23"/>
        <w:tabs>
          <w:tab w:val="left" w:pos="1260"/>
        </w:tabs>
        <w:spacing w:line="360" w:lineRule="auto"/>
        <w:jc w:val="center"/>
        <w:rPr>
          <w:rFonts w:hAnsi="宋体" w:cs="宋体"/>
          <w:b/>
          <w:spacing w:val="100"/>
          <w:w w:val="110"/>
          <w:sz w:val="48"/>
          <w:szCs w:val="48"/>
          <w:highlight w:val="none"/>
        </w:rPr>
      </w:pPr>
      <w:r>
        <w:rPr>
          <w:rFonts w:hint="eastAsia" w:hAnsi="宋体" w:cs="宋体"/>
          <w:b/>
          <w:spacing w:val="100"/>
          <w:w w:val="110"/>
          <w:sz w:val="48"/>
          <w:szCs w:val="48"/>
          <w:highlight w:val="none"/>
        </w:rPr>
        <w:t>响应文件</w:t>
      </w:r>
    </w:p>
    <w:p>
      <w:pPr>
        <w:pStyle w:val="23"/>
        <w:spacing w:line="360" w:lineRule="auto"/>
        <w:jc w:val="center"/>
        <w:rPr>
          <w:rFonts w:hAnsi="宋体" w:cs="宋体"/>
          <w:b/>
          <w:highlight w:val="none"/>
        </w:rPr>
      </w:pPr>
    </w:p>
    <w:p>
      <w:pPr>
        <w:pStyle w:val="23"/>
        <w:spacing w:line="800" w:lineRule="exact"/>
        <w:jc w:val="center"/>
        <w:rPr>
          <w:rFonts w:hAnsi="宋体" w:cs="宋体"/>
          <w:b/>
          <w:sz w:val="36"/>
          <w:szCs w:val="36"/>
          <w:highlight w:val="none"/>
        </w:rPr>
      </w:pPr>
      <w:r>
        <w:rPr>
          <w:rFonts w:hint="eastAsia" w:hAnsi="宋体" w:cs="宋体"/>
          <w:b/>
          <w:sz w:val="36"/>
          <w:szCs w:val="36"/>
          <w:highlight w:val="none"/>
        </w:rPr>
        <w:t>（正本/副本）</w:t>
      </w:r>
    </w:p>
    <w:p>
      <w:pPr>
        <w:pStyle w:val="23"/>
        <w:spacing w:line="360" w:lineRule="auto"/>
        <w:jc w:val="center"/>
        <w:rPr>
          <w:rFonts w:hAnsi="宋体" w:cs="宋体"/>
          <w:b/>
          <w:highlight w:val="none"/>
        </w:rPr>
      </w:pPr>
    </w:p>
    <w:p>
      <w:pPr>
        <w:pStyle w:val="23"/>
        <w:spacing w:line="360" w:lineRule="auto"/>
        <w:jc w:val="center"/>
        <w:rPr>
          <w:rFonts w:hAnsi="宋体" w:cs="宋体"/>
          <w:b/>
          <w:highlight w:val="none"/>
        </w:rPr>
      </w:pPr>
    </w:p>
    <w:p>
      <w:pPr>
        <w:pStyle w:val="23"/>
        <w:spacing w:line="360" w:lineRule="auto"/>
        <w:jc w:val="center"/>
        <w:rPr>
          <w:rFonts w:hAnsi="宋体" w:cs="宋体"/>
          <w:b/>
          <w:highlight w:val="none"/>
        </w:rPr>
      </w:pPr>
    </w:p>
    <w:p>
      <w:pPr>
        <w:pStyle w:val="19"/>
        <w:spacing w:line="360" w:lineRule="auto"/>
        <w:ind w:firstLine="967" w:firstLineChars="344"/>
        <w:rPr>
          <w:rFonts w:ascii="宋体" w:hAnsi="宋体" w:cs="宋体"/>
          <w:b/>
          <w:sz w:val="28"/>
          <w:szCs w:val="28"/>
          <w:highlight w:val="none"/>
          <w:u w:val="single"/>
        </w:rPr>
      </w:pPr>
      <w:r>
        <w:rPr>
          <w:rFonts w:hint="eastAsia" w:ascii="宋体" w:hAnsi="宋体" w:cs="宋体"/>
          <w:b/>
          <w:sz w:val="28"/>
          <w:szCs w:val="28"/>
          <w:highlight w:val="none"/>
        </w:rPr>
        <w:t>项目名称：</w:t>
      </w:r>
    </w:p>
    <w:p>
      <w:pPr>
        <w:pStyle w:val="23"/>
        <w:spacing w:line="360" w:lineRule="auto"/>
        <w:ind w:firstLine="1383" w:firstLineChars="492"/>
        <w:rPr>
          <w:rFonts w:hAnsi="宋体" w:cs="宋体"/>
          <w:b/>
          <w:sz w:val="28"/>
          <w:szCs w:val="28"/>
          <w:highlight w:val="none"/>
          <w:u w:val="thick"/>
        </w:rPr>
      </w:pPr>
      <w:r>
        <w:rPr>
          <w:rFonts w:hint="eastAsia" w:hAnsi="宋体" w:cs="宋体"/>
          <w:b/>
          <w:sz w:val="28"/>
          <w:szCs w:val="28"/>
          <w:highlight w:val="none"/>
        </w:rPr>
        <w:t>项目编号：</w:t>
      </w:r>
    </w:p>
    <w:p>
      <w:pPr>
        <w:pStyle w:val="23"/>
        <w:spacing w:line="360" w:lineRule="auto"/>
        <w:ind w:firstLine="1383" w:firstLineChars="492"/>
        <w:rPr>
          <w:rFonts w:hAnsi="宋体" w:cs="宋体"/>
          <w:b/>
          <w:sz w:val="28"/>
          <w:szCs w:val="28"/>
          <w:highlight w:val="none"/>
        </w:rPr>
      </w:pPr>
    </w:p>
    <w:p>
      <w:pPr>
        <w:pStyle w:val="23"/>
        <w:spacing w:line="360" w:lineRule="auto"/>
        <w:ind w:firstLine="632" w:firstLineChars="300"/>
        <w:rPr>
          <w:rFonts w:hAnsi="宋体" w:cs="宋体"/>
          <w:b/>
          <w:highlight w:val="none"/>
        </w:rPr>
      </w:pPr>
    </w:p>
    <w:p>
      <w:pPr>
        <w:pStyle w:val="23"/>
        <w:spacing w:line="360" w:lineRule="auto"/>
        <w:ind w:firstLine="632" w:firstLineChars="300"/>
        <w:rPr>
          <w:rFonts w:hAnsi="宋体" w:cs="宋体"/>
          <w:b/>
          <w:highlight w:val="none"/>
        </w:rPr>
      </w:pPr>
    </w:p>
    <w:p>
      <w:pPr>
        <w:pStyle w:val="23"/>
        <w:spacing w:line="360" w:lineRule="auto"/>
        <w:ind w:firstLine="632" w:firstLineChars="300"/>
        <w:rPr>
          <w:rFonts w:hAnsi="宋体" w:cs="宋体"/>
          <w:b/>
          <w:highlight w:val="none"/>
        </w:rPr>
      </w:pPr>
    </w:p>
    <w:p>
      <w:pPr>
        <w:pStyle w:val="23"/>
        <w:spacing w:line="360" w:lineRule="auto"/>
        <w:ind w:firstLine="632" w:firstLineChars="300"/>
        <w:rPr>
          <w:rFonts w:hAnsi="宋体" w:cs="宋体"/>
          <w:b/>
          <w:highlight w:val="none"/>
        </w:rPr>
      </w:pPr>
    </w:p>
    <w:p>
      <w:pPr>
        <w:pStyle w:val="19"/>
        <w:spacing w:line="500" w:lineRule="exact"/>
        <w:ind w:firstLine="967" w:firstLineChars="344"/>
        <w:rPr>
          <w:rFonts w:ascii="宋体" w:hAnsi="宋体" w:cs="宋体"/>
          <w:b/>
          <w:sz w:val="28"/>
          <w:szCs w:val="28"/>
          <w:highlight w:val="none"/>
        </w:rPr>
      </w:pPr>
      <w:r>
        <w:rPr>
          <w:rFonts w:hint="eastAsia" w:ascii="宋体" w:hAnsi="宋体" w:cs="宋体"/>
          <w:b/>
          <w:sz w:val="28"/>
          <w:szCs w:val="28"/>
          <w:highlight w:val="none"/>
        </w:rPr>
        <w:t>供应商名称（加盖公章）：</w:t>
      </w:r>
    </w:p>
    <w:p>
      <w:pPr>
        <w:pStyle w:val="19"/>
        <w:spacing w:line="500" w:lineRule="exact"/>
        <w:ind w:firstLine="967" w:firstLineChars="344"/>
        <w:rPr>
          <w:rFonts w:ascii="宋体" w:hAnsi="宋体" w:cs="宋体"/>
          <w:b/>
          <w:sz w:val="28"/>
          <w:szCs w:val="28"/>
          <w:highlight w:val="none"/>
        </w:rPr>
      </w:pPr>
      <w:r>
        <w:rPr>
          <w:rFonts w:hint="eastAsia" w:ascii="宋体" w:hAnsi="宋体" w:cs="宋体"/>
          <w:b/>
          <w:sz w:val="28"/>
          <w:szCs w:val="28"/>
          <w:highlight w:val="none"/>
        </w:rPr>
        <w:t>供应商地址：</w:t>
      </w:r>
    </w:p>
    <w:p>
      <w:pPr>
        <w:pStyle w:val="19"/>
        <w:spacing w:line="500" w:lineRule="exact"/>
        <w:ind w:firstLine="967" w:firstLineChars="344"/>
        <w:rPr>
          <w:rFonts w:ascii="宋体" w:hAnsi="宋体" w:cs="宋体"/>
          <w:b/>
          <w:sz w:val="28"/>
          <w:szCs w:val="28"/>
          <w:highlight w:val="none"/>
        </w:rPr>
      </w:pPr>
      <w:r>
        <w:rPr>
          <w:rFonts w:hint="eastAsia" w:ascii="宋体" w:hAnsi="宋体" w:cs="宋体"/>
          <w:b/>
          <w:sz w:val="28"/>
          <w:szCs w:val="28"/>
          <w:highlight w:val="none"/>
        </w:rPr>
        <w:t>联 系 人：</w:t>
      </w:r>
    </w:p>
    <w:p>
      <w:pPr>
        <w:pStyle w:val="19"/>
        <w:spacing w:line="500" w:lineRule="exact"/>
        <w:ind w:firstLine="967" w:firstLineChars="344"/>
        <w:rPr>
          <w:rFonts w:ascii="宋体" w:hAnsi="宋体" w:cs="宋体"/>
          <w:b/>
          <w:sz w:val="28"/>
          <w:szCs w:val="28"/>
          <w:highlight w:val="none"/>
        </w:rPr>
      </w:pPr>
      <w:r>
        <w:rPr>
          <w:rFonts w:hint="eastAsia" w:ascii="宋体" w:hAnsi="宋体" w:cs="宋体"/>
          <w:b/>
          <w:sz w:val="28"/>
          <w:szCs w:val="28"/>
          <w:highlight w:val="none"/>
        </w:rPr>
        <w:t>联系电话（手机/固话）：</w:t>
      </w:r>
    </w:p>
    <w:p>
      <w:pPr>
        <w:pStyle w:val="19"/>
        <w:spacing w:line="500" w:lineRule="exact"/>
        <w:ind w:firstLine="967" w:firstLineChars="344"/>
        <w:rPr>
          <w:rFonts w:ascii="宋体" w:hAnsi="宋体" w:cs="宋体"/>
          <w:b/>
          <w:sz w:val="28"/>
          <w:szCs w:val="28"/>
          <w:highlight w:val="none"/>
        </w:rPr>
      </w:pPr>
      <w:r>
        <w:rPr>
          <w:rFonts w:hint="eastAsia" w:ascii="宋体" w:hAnsi="宋体" w:cs="宋体"/>
          <w:b/>
          <w:sz w:val="28"/>
          <w:szCs w:val="28"/>
          <w:highlight w:val="none"/>
        </w:rPr>
        <w:t>电子邮箱：</w:t>
      </w:r>
    </w:p>
    <w:p>
      <w:pPr>
        <w:pStyle w:val="19"/>
        <w:spacing w:line="300" w:lineRule="exact"/>
        <w:ind w:firstLine="967" w:firstLineChars="344"/>
        <w:rPr>
          <w:rFonts w:ascii="宋体" w:hAnsi="宋体" w:cs="宋体"/>
          <w:b/>
          <w:sz w:val="28"/>
          <w:szCs w:val="28"/>
          <w:highlight w:val="none"/>
        </w:rPr>
      </w:pPr>
    </w:p>
    <w:p>
      <w:pPr>
        <w:pStyle w:val="19"/>
        <w:spacing w:line="300" w:lineRule="exact"/>
        <w:ind w:firstLine="967" w:firstLineChars="344"/>
        <w:rPr>
          <w:rFonts w:ascii="宋体" w:hAnsi="宋体" w:cs="宋体"/>
          <w:b/>
          <w:sz w:val="28"/>
          <w:szCs w:val="28"/>
          <w:highlight w:val="none"/>
        </w:rPr>
      </w:pPr>
    </w:p>
    <w:p>
      <w:pPr>
        <w:pStyle w:val="19"/>
        <w:spacing w:line="300" w:lineRule="exact"/>
        <w:ind w:left="0" w:leftChars="0"/>
        <w:jc w:val="center"/>
        <w:rPr>
          <w:rFonts w:ascii="宋体" w:hAnsi="宋体" w:cs="宋体"/>
          <w:b/>
          <w:sz w:val="28"/>
          <w:szCs w:val="28"/>
          <w:highlight w:val="none"/>
        </w:rPr>
      </w:pPr>
      <w:r>
        <w:rPr>
          <w:rFonts w:hint="eastAsia" w:ascii="宋体" w:hAnsi="宋体" w:cs="宋体"/>
          <w:b/>
          <w:sz w:val="28"/>
          <w:szCs w:val="28"/>
          <w:highlight w:val="none"/>
        </w:rPr>
        <w:t>日  期：   年   月   日</w:t>
      </w:r>
    </w:p>
    <w:p>
      <w:pPr>
        <w:autoSpaceDE w:val="0"/>
        <w:autoSpaceDN w:val="0"/>
        <w:spacing w:line="360" w:lineRule="auto"/>
        <w:ind w:firstLine="744" w:firstLineChars="353"/>
        <w:rPr>
          <w:rFonts w:ascii="宋体" w:hAnsi="宋体" w:cs="宋体"/>
          <w:b/>
          <w:szCs w:val="21"/>
          <w:highlight w:val="none"/>
          <w:u w:val="single"/>
        </w:rPr>
      </w:pPr>
    </w:p>
    <w:p>
      <w:pPr>
        <w:pStyle w:val="3"/>
        <w:keepLines w:val="0"/>
        <w:widowControl w:val="0"/>
        <w:tabs>
          <w:tab w:val="left" w:pos="851"/>
        </w:tabs>
        <w:adjustRightInd/>
        <w:snapToGrid/>
        <w:jc w:val="both"/>
        <w:rPr>
          <w:rFonts w:hAnsi="宋体" w:cs="宋体"/>
          <w:b/>
          <w:sz w:val="21"/>
          <w:szCs w:val="21"/>
          <w:highlight w:val="none"/>
        </w:rPr>
      </w:pPr>
      <w:r>
        <w:rPr>
          <w:rFonts w:hint="eastAsia" w:hAnsi="宋体" w:cs="宋体"/>
          <w:b/>
          <w:sz w:val="21"/>
          <w:szCs w:val="21"/>
          <w:highlight w:val="none"/>
        </w:rPr>
        <w:br w:type="page"/>
      </w:r>
      <w:bookmarkStart w:id="2243" w:name="_Toc17914"/>
      <w:bookmarkStart w:id="2244" w:name="_Toc4859"/>
      <w:bookmarkStart w:id="2245" w:name="_Toc519164273"/>
      <w:bookmarkStart w:id="2246" w:name="_Toc20930"/>
      <w:bookmarkStart w:id="2247" w:name="_Toc502737190"/>
      <w:bookmarkStart w:id="2248" w:name="_Toc455134764"/>
      <w:bookmarkStart w:id="2249" w:name="_Toc454820102"/>
      <w:bookmarkStart w:id="2250" w:name="_Toc535849049"/>
      <w:bookmarkStart w:id="2251" w:name="_Toc9755"/>
      <w:bookmarkStart w:id="2252" w:name="_Toc18596"/>
      <w:bookmarkStart w:id="2253" w:name="_Toc8050"/>
      <w:r>
        <w:rPr>
          <w:rFonts w:hint="eastAsia" w:hAnsi="宋体" w:cs="宋体"/>
          <w:b/>
          <w:sz w:val="21"/>
          <w:szCs w:val="21"/>
          <w:highlight w:val="none"/>
        </w:rPr>
        <w:t>1.自查表</w:t>
      </w:r>
      <w:bookmarkEnd w:id="2243"/>
      <w:bookmarkEnd w:id="2244"/>
      <w:bookmarkEnd w:id="2245"/>
      <w:bookmarkEnd w:id="2246"/>
      <w:bookmarkEnd w:id="2247"/>
      <w:bookmarkEnd w:id="2248"/>
      <w:bookmarkEnd w:id="2249"/>
      <w:bookmarkEnd w:id="2250"/>
      <w:bookmarkEnd w:id="2251"/>
      <w:bookmarkEnd w:id="2252"/>
      <w:bookmarkEnd w:id="2253"/>
    </w:p>
    <w:p>
      <w:pPr>
        <w:pStyle w:val="6"/>
        <w:tabs>
          <w:tab w:val="left" w:pos="540"/>
        </w:tabs>
        <w:rPr>
          <w:rFonts w:hAnsi="宋体" w:cs="宋体"/>
          <w:color w:val="auto"/>
          <w:szCs w:val="21"/>
          <w:highlight w:val="none"/>
        </w:rPr>
      </w:pPr>
      <w:r>
        <w:rPr>
          <w:rFonts w:hint="eastAsia" w:hAnsi="宋体" w:cs="宋体"/>
          <w:color w:val="auto"/>
          <w:szCs w:val="21"/>
          <w:highlight w:val="none"/>
        </w:rPr>
        <w:t>1.1</w:t>
      </w:r>
      <w:r>
        <w:rPr>
          <w:rFonts w:hint="eastAsia" w:hAnsi="宋体" w:cs="宋体"/>
          <w:color w:val="auto"/>
          <w:szCs w:val="21"/>
          <w:highlight w:val="none"/>
        </w:rPr>
        <w:tab/>
      </w:r>
      <w:r>
        <w:rPr>
          <w:rFonts w:hint="eastAsia" w:hAnsi="宋体" w:cs="宋体"/>
          <w:color w:val="auto"/>
          <w:szCs w:val="21"/>
          <w:highlight w:val="none"/>
        </w:rPr>
        <w:t>资格性自查表</w:t>
      </w:r>
    </w:p>
    <w:tbl>
      <w:tblPr>
        <w:tblStyle w:val="46"/>
        <w:tblW w:w="9675" w:type="dxa"/>
        <w:jc w:val="center"/>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859"/>
        <w:gridCol w:w="6264"/>
        <w:gridCol w:w="1163"/>
        <w:gridCol w:w="1389"/>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PrEx>
        <w:trPr>
          <w:jc w:val="center"/>
        </w:trPr>
        <w:tc>
          <w:tcPr>
            <w:tcW w:w="859"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Cs w:val="21"/>
                <w:highlight w:val="none"/>
              </w:rPr>
            </w:pPr>
            <w:r>
              <w:rPr>
                <w:rStyle w:val="49"/>
                <w:rFonts w:hint="eastAsia" w:ascii="宋体" w:hAnsi="宋体" w:cs="宋体"/>
                <w:szCs w:val="21"/>
                <w:highlight w:val="none"/>
              </w:rPr>
              <w:t>评审内容</w:t>
            </w:r>
          </w:p>
        </w:tc>
        <w:tc>
          <w:tcPr>
            <w:tcW w:w="6264"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Cs w:val="21"/>
                <w:highlight w:val="none"/>
              </w:rPr>
            </w:pPr>
            <w:r>
              <w:rPr>
                <w:rStyle w:val="49"/>
                <w:rFonts w:hint="eastAsia" w:ascii="宋体" w:hAnsi="宋体" w:cs="宋体"/>
                <w:szCs w:val="21"/>
                <w:highlight w:val="none"/>
              </w:rPr>
              <w:t>竞争性磋商文件要求</w:t>
            </w:r>
          </w:p>
          <w:p>
            <w:pPr>
              <w:jc w:val="center"/>
              <w:rPr>
                <w:rFonts w:ascii="宋体" w:hAnsi="宋体" w:cs="宋体"/>
                <w:szCs w:val="21"/>
                <w:highlight w:val="none"/>
              </w:rPr>
            </w:pPr>
            <w:r>
              <w:rPr>
                <w:rFonts w:hint="eastAsia" w:ascii="宋体" w:hAnsi="宋体" w:cs="宋体"/>
                <w:szCs w:val="21"/>
                <w:highlight w:val="none"/>
              </w:rPr>
              <w:t>（详见《资格性审查表》各项）</w:t>
            </w:r>
          </w:p>
        </w:tc>
        <w:tc>
          <w:tcPr>
            <w:tcW w:w="1163"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Cs w:val="21"/>
                <w:highlight w:val="none"/>
              </w:rPr>
            </w:pPr>
            <w:r>
              <w:rPr>
                <w:rStyle w:val="49"/>
                <w:rFonts w:hint="eastAsia" w:ascii="宋体" w:hAnsi="宋体" w:cs="宋体"/>
                <w:szCs w:val="21"/>
                <w:highlight w:val="none"/>
              </w:rPr>
              <w:t>自查结论</w:t>
            </w:r>
          </w:p>
        </w:tc>
        <w:tc>
          <w:tcPr>
            <w:tcW w:w="1389"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Cs w:val="21"/>
                <w:highlight w:val="none"/>
              </w:rPr>
            </w:pPr>
            <w:r>
              <w:rPr>
                <w:rStyle w:val="49"/>
                <w:rFonts w:hint="eastAsia" w:ascii="宋体" w:hAnsi="宋体" w:cs="宋体"/>
                <w:szCs w:val="21"/>
                <w:highlight w:val="none"/>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PrEx>
        <w:trPr>
          <w:jc w:val="center"/>
        </w:trPr>
        <w:tc>
          <w:tcPr>
            <w:tcW w:w="859" w:type="dxa"/>
            <w:vMerge w:val="restart"/>
            <w:tcBorders>
              <w:top w:val="outset" w:color="111111" w:sz="6" w:space="0"/>
              <w:left w:val="outset" w:color="111111" w:sz="6" w:space="0"/>
              <w:right w:val="outset" w:color="111111" w:sz="6" w:space="0"/>
            </w:tcBorders>
            <w:vAlign w:val="center"/>
          </w:tcPr>
          <w:p>
            <w:pPr>
              <w:pStyle w:val="41"/>
              <w:jc w:val="center"/>
              <w:rPr>
                <w:sz w:val="21"/>
                <w:szCs w:val="21"/>
                <w:highlight w:val="none"/>
              </w:rPr>
            </w:pPr>
            <w:r>
              <w:rPr>
                <w:rFonts w:hint="eastAsia"/>
                <w:sz w:val="21"/>
                <w:szCs w:val="21"/>
                <w:highlight w:val="none"/>
              </w:rPr>
              <w:t>资格性审查</w:t>
            </w:r>
          </w:p>
        </w:tc>
        <w:tc>
          <w:tcPr>
            <w:tcW w:w="6264"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Cs w:val="21"/>
                <w:highlight w:val="none"/>
              </w:rPr>
            </w:pPr>
            <w:r>
              <w:rPr>
                <w:rFonts w:hint="eastAsia" w:ascii="宋体" w:hAnsi="宋体" w:cs="宋体"/>
                <w:highlight w:val="none"/>
              </w:rPr>
              <w:t>1、供应商具备《政府采购法》第二十二条所规定的条件：1）供应商必须是具有独立承担民事责任能力的在中华人民共和国境内注册的法人或其他组织或自然人（提交有效的营业执照（或事业法人登记证等相关证明）副本复印件）。2）供应商必须具有良好的商业信誉和健全的财务会计制度（提供2019度财务状况报告或基本开户行出具的资信证明）。3）有依法缴纳税收和社会保障资金的良好记录（提供投标截止日前6个月内任意1个月依法缴纳税收和社会保障资金的相关材料。如依法免税或不需要缴纳社会保障资金的，提供相应证明材料）。4）具备履行合同所必需的设备和专业技术能力（按第五章格式填报设备和专业技术能力情况表）。5）供应商参加政府采购活动前三年内，在经营活动中没有重大违法记录（提供声明函，格式见第五章）。6）供应商必须符合法律、行政法规规定的其他条件（提供声明函，格式见第五章）</w:t>
            </w:r>
          </w:p>
        </w:tc>
        <w:tc>
          <w:tcPr>
            <w:tcW w:w="1163"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Cs w:val="21"/>
                <w:highlight w:val="none"/>
              </w:rPr>
            </w:pPr>
            <w:r>
              <w:rPr>
                <w:rFonts w:hint="eastAsia" w:ascii="宋体" w:hAnsi="宋体" w:cs="宋体"/>
                <w:szCs w:val="21"/>
                <w:highlight w:val="none"/>
              </w:rPr>
              <w:t xml:space="preserve">□通过 </w:t>
            </w:r>
          </w:p>
          <w:p>
            <w:pPr>
              <w:rPr>
                <w:rFonts w:ascii="宋体" w:hAnsi="宋体" w:cs="宋体"/>
                <w:szCs w:val="21"/>
                <w:highlight w:val="none"/>
              </w:rPr>
            </w:pPr>
            <w:r>
              <w:rPr>
                <w:rFonts w:hint="eastAsia" w:ascii="宋体" w:hAnsi="宋体" w:cs="宋体"/>
                <w:szCs w:val="21"/>
                <w:highlight w:val="none"/>
              </w:rPr>
              <w:t>□不通过</w:t>
            </w:r>
          </w:p>
        </w:tc>
        <w:tc>
          <w:tcPr>
            <w:tcW w:w="1389"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Cs w:val="21"/>
                <w:highlight w:val="none"/>
              </w:rPr>
            </w:pPr>
            <w:r>
              <w:rPr>
                <w:rFonts w:hint="eastAsia" w:ascii="宋体" w:hAnsi="宋体" w:cs="宋体"/>
                <w:szCs w:val="21"/>
                <w:highlight w:val="none"/>
              </w:rPr>
              <w:t>见</w:t>
            </w:r>
            <w:r>
              <w:rPr>
                <w:rFonts w:hint="eastAsia" w:ascii="宋体" w:hAnsi="宋体" w:cs="宋体"/>
                <w:szCs w:val="21"/>
                <w:highlight w:val="none"/>
                <w:lang w:eastAsia="zh-CN"/>
              </w:rPr>
              <w:t>响应文件</w:t>
            </w:r>
            <w:r>
              <w:rPr>
                <w:rFonts w:hint="eastAsia" w:ascii="宋体" w:hAnsi="宋体" w:cs="宋体"/>
                <w:szCs w:val="21"/>
                <w:highlight w:val="none"/>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jc w:val="center"/>
        </w:trPr>
        <w:tc>
          <w:tcPr>
            <w:tcW w:w="859" w:type="dxa"/>
            <w:vMerge w:val="continue"/>
            <w:tcBorders>
              <w:left w:val="outset" w:color="111111" w:sz="6" w:space="0"/>
              <w:right w:val="outset" w:color="111111" w:sz="6" w:space="0"/>
            </w:tcBorders>
            <w:vAlign w:val="center"/>
          </w:tcPr>
          <w:p>
            <w:pPr>
              <w:pStyle w:val="41"/>
              <w:jc w:val="center"/>
              <w:rPr>
                <w:sz w:val="21"/>
                <w:szCs w:val="21"/>
                <w:highlight w:val="none"/>
              </w:rPr>
            </w:pPr>
          </w:p>
        </w:tc>
        <w:tc>
          <w:tcPr>
            <w:tcW w:w="6264"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Cs w:val="21"/>
                <w:highlight w:val="none"/>
              </w:rPr>
            </w:pPr>
            <w:r>
              <w:rPr>
                <w:rFonts w:hint="eastAsia" w:ascii="宋体" w:hAnsi="宋体" w:cs="宋体"/>
                <w:highlight w:val="none"/>
              </w:rPr>
              <w:t>2、本项目不接受联合体</w:t>
            </w:r>
            <w:r>
              <w:rPr>
                <w:rFonts w:hint="eastAsia" w:ascii="宋体" w:hAnsi="宋体" w:cs="宋体"/>
                <w:highlight w:val="none"/>
                <w:lang w:val="en-US" w:eastAsia="zh-CN"/>
              </w:rPr>
              <w:t>投标</w:t>
            </w:r>
            <w:r>
              <w:rPr>
                <w:rFonts w:hint="eastAsia" w:ascii="宋体" w:hAnsi="宋体" w:cs="宋体"/>
                <w:highlight w:val="none"/>
              </w:rPr>
              <w:t>。</w:t>
            </w:r>
          </w:p>
        </w:tc>
        <w:tc>
          <w:tcPr>
            <w:tcW w:w="1163"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Cs w:val="21"/>
                <w:highlight w:val="none"/>
              </w:rPr>
            </w:pPr>
            <w:r>
              <w:rPr>
                <w:rFonts w:hint="eastAsia" w:ascii="宋体" w:hAnsi="宋体" w:cs="宋体"/>
                <w:szCs w:val="21"/>
                <w:highlight w:val="none"/>
              </w:rPr>
              <w:t>□通过 □不通过</w:t>
            </w:r>
          </w:p>
        </w:tc>
        <w:tc>
          <w:tcPr>
            <w:tcW w:w="1389"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Cs w:val="21"/>
                <w:highlight w:val="none"/>
              </w:rPr>
            </w:pPr>
            <w:r>
              <w:rPr>
                <w:rFonts w:hint="eastAsia" w:ascii="宋体" w:hAnsi="宋体" w:cs="宋体"/>
                <w:szCs w:val="21"/>
                <w:highlight w:val="none"/>
              </w:rPr>
              <w:t>见</w:t>
            </w:r>
            <w:r>
              <w:rPr>
                <w:rFonts w:hint="eastAsia" w:ascii="宋体" w:hAnsi="宋体" w:cs="宋体"/>
                <w:szCs w:val="21"/>
                <w:highlight w:val="none"/>
                <w:lang w:eastAsia="zh-CN"/>
              </w:rPr>
              <w:t>响应文件</w:t>
            </w:r>
            <w:r>
              <w:rPr>
                <w:rFonts w:hint="eastAsia" w:ascii="宋体" w:hAnsi="宋体" w:cs="宋体"/>
                <w:szCs w:val="21"/>
                <w:highlight w:val="none"/>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jc w:val="center"/>
        </w:trPr>
        <w:tc>
          <w:tcPr>
            <w:tcW w:w="859" w:type="dxa"/>
            <w:vMerge w:val="continue"/>
            <w:tcBorders>
              <w:left w:val="outset" w:color="111111" w:sz="6" w:space="0"/>
              <w:right w:val="outset" w:color="111111" w:sz="6" w:space="0"/>
            </w:tcBorders>
            <w:vAlign w:val="center"/>
          </w:tcPr>
          <w:p>
            <w:pPr>
              <w:pStyle w:val="41"/>
              <w:jc w:val="center"/>
              <w:rPr>
                <w:sz w:val="21"/>
                <w:szCs w:val="21"/>
                <w:highlight w:val="none"/>
              </w:rPr>
            </w:pPr>
          </w:p>
        </w:tc>
        <w:tc>
          <w:tcPr>
            <w:tcW w:w="6264"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Cs w:val="21"/>
                <w:highlight w:val="none"/>
              </w:rPr>
            </w:pPr>
            <w:r>
              <w:rPr>
                <w:rFonts w:hint="eastAsia" w:ascii="宋体" w:hAnsi="宋体" w:cs="宋体"/>
                <w:highlight w:val="none"/>
              </w:rPr>
              <w:t>3、已登记报名并获取本项目磋商文件。</w:t>
            </w:r>
          </w:p>
        </w:tc>
        <w:tc>
          <w:tcPr>
            <w:tcW w:w="1163"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Cs w:val="21"/>
                <w:highlight w:val="none"/>
              </w:rPr>
            </w:pPr>
            <w:r>
              <w:rPr>
                <w:rFonts w:hint="eastAsia" w:ascii="宋体" w:hAnsi="宋体" w:cs="宋体"/>
                <w:szCs w:val="21"/>
                <w:highlight w:val="none"/>
              </w:rPr>
              <w:t>□通过 □不通过</w:t>
            </w:r>
          </w:p>
        </w:tc>
        <w:tc>
          <w:tcPr>
            <w:tcW w:w="1389"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Cs w:val="21"/>
                <w:highlight w:val="none"/>
              </w:rPr>
            </w:pPr>
            <w:r>
              <w:rPr>
                <w:rFonts w:hint="eastAsia" w:ascii="宋体" w:hAnsi="宋体" w:cs="宋体"/>
                <w:szCs w:val="21"/>
                <w:highlight w:val="none"/>
              </w:rPr>
              <w:t>见</w:t>
            </w:r>
            <w:r>
              <w:rPr>
                <w:rFonts w:hint="eastAsia" w:ascii="宋体" w:hAnsi="宋体" w:cs="宋体"/>
                <w:szCs w:val="21"/>
                <w:highlight w:val="none"/>
                <w:lang w:eastAsia="zh-CN"/>
              </w:rPr>
              <w:t>响应文件</w:t>
            </w:r>
            <w:r>
              <w:rPr>
                <w:rFonts w:hint="eastAsia" w:ascii="宋体" w:hAnsi="宋体" w:cs="宋体"/>
                <w:szCs w:val="21"/>
                <w:highlight w:val="none"/>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jc w:val="center"/>
        </w:trPr>
        <w:tc>
          <w:tcPr>
            <w:tcW w:w="859" w:type="dxa"/>
            <w:vMerge w:val="continue"/>
            <w:tcBorders>
              <w:left w:val="outset" w:color="111111" w:sz="6" w:space="0"/>
              <w:right w:val="outset" w:color="111111" w:sz="6" w:space="0"/>
            </w:tcBorders>
            <w:vAlign w:val="center"/>
          </w:tcPr>
          <w:p>
            <w:pPr>
              <w:pStyle w:val="41"/>
              <w:jc w:val="center"/>
              <w:rPr>
                <w:sz w:val="21"/>
                <w:szCs w:val="21"/>
                <w:highlight w:val="none"/>
              </w:rPr>
            </w:pPr>
          </w:p>
        </w:tc>
        <w:tc>
          <w:tcPr>
            <w:tcW w:w="6264"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Cs w:val="21"/>
                <w:highlight w:val="none"/>
              </w:rPr>
            </w:pPr>
            <w:r>
              <w:rPr>
                <w:rFonts w:hint="eastAsia" w:ascii="宋体" w:hAnsi="宋体" w:cs="宋体"/>
                <w:highlight w:val="none"/>
              </w:rPr>
              <w:t>4、供应商未被列入“信用中国”网站(www.creditchina.gov.cn)“记录失信被执行人或重大税收违法案件当事人名单或政府采购严重违法失信行为”记录名单。（采购代理机构将于投标截止日当天在“信用中国”网站（www.creditchina.gov.cn）上查询相关信息。如查询结果未发现失信行为，视为评审时供应商符合本款要求）</w:t>
            </w:r>
          </w:p>
        </w:tc>
        <w:tc>
          <w:tcPr>
            <w:tcW w:w="1163"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Cs w:val="21"/>
                <w:highlight w:val="none"/>
              </w:rPr>
            </w:pPr>
            <w:r>
              <w:rPr>
                <w:rFonts w:hint="eastAsia" w:ascii="宋体" w:hAnsi="宋体" w:cs="宋体"/>
                <w:szCs w:val="21"/>
                <w:highlight w:val="none"/>
              </w:rPr>
              <w:t>□通过 □不通过</w:t>
            </w:r>
          </w:p>
        </w:tc>
        <w:tc>
          <w:tcPr>
            <w:tcW w:w="1389"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Cs w:val="21"/>
                <w:highlight w:val="none"/>
              </w:rPr>
            </w:pPr>
            <w:r>
              <w:rPr>
                <w:rFonts w:hint="eastAsia" w:ascii="宋体" w:hAnsi="宋体" w:cs="宋体"/>
                <w:szCs w:val="21"/>
                <w:highlight w:val="none"/>
              </w:rPr>
              <w:t>见</w:t>
            </w:r>
            <w:r>
              <w:rPr>
                <w:rFonts w:hint="eastAsia" w:ascii="宋体" w:hAnsi="宋体" w:cs="宋体"/>
                <w:szCs w:val="21"/>
                <w:highlight w:val="none"/>
                <w:lang w:eastAsia="zh-CN"/>
              </w:rPr>
              <w:t>响应文件</w:t>
            </w:r>
            <w:r>
              <w:rPr>
                <w:rFonts w:hint="eastAsia" w:ascii="宋体" w:hAnsi="宋体" w:cs="宋体"/>
                <w:szCs w:val="21"/>
                <w:highlight w:val="none"/>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jc w:val="center"/>
        </w:trPr>
        <w:tc>
          <w:tcPr>
            <w:tcW w:w="859" w:type="dxa"/>
            <w:vMerge w:val="continue"/>
            <w:tcBorders>
              <w:left w:val="outset" w:color="111111" w:sz="6" w:space="0"/>
              <w:right w:val="outset" w:color="111111" w:sz="6" w:space="0"/>
            </w:tcBorders>
            <w:vAlign w:val="center"/>
          </w:tcPr>
          <w:p>
            <w:pPr>
              <w:pStyle w:val="41"/>
              <w:jc w:val="center"/>
              <w:rPr>
                <w:sz w:val="21"/>
                <w:szCs w:val="21"/>
                <w:highlight w:val="none"/>
              </w:rPr>
            </w:pPr>
          </w:p>
        </w:tc>
        <w:tc>
          <w:tcPr>
            <w:tcW w:w="6264"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Cs w:val="21"/>
                <w:highlight w:val="none"/>
              </w:rPr>
            </w:pPr>
            <w:r>
              <w:rPr>
                <w:rFonts w:hint="eastAsia" w:ascii="宋体" w:hAnsi="宋体" w:cs="宋体"/>
                <w:highlight w:val="none"/>
              </w:rPr>
              <w:t>5、单位负责人为同一人或者存在直接控股、管理关系的不同供应商，不得参加同一合同项下的政府采购活动。（提供声明函，格式见第五章）</w:t>
            </w:r>
          </w:p>
        </w:tc>
        <w:tc>
          <w:tcPr>
            <w:tcW w:w="1163"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Cs w:val="21"/>
                <w:highlight w:val="none"/>
              </w:rPr>
            </w:pPr>
            <w:r>
              <w:rPr>
                <w:rFonts w:hint="eastAsia" w:ascii="宋体" w:hAnsi="宋体" w:cs="宋体"/>
                <w:szCs w:val="21"/>
                <w:highlight w:val="none"/>
              </w:rPr>
              <w:t>□通过 □不通过</w:t>
            </w:r>
          </w:p>
        </w:tc>
        <w:tc>
          <w:tcPr>
            <w:tcW w:w="1389"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Cs w:val="21"/>
                <w:highlight w:val="none"/>
              </w:rPr>
            </w:pPr>
            <w:r>
              <w:rPr>
                <w:rFonts w:hint="eastAsia" w:ascii="宋体" w:hAnsi="宋体" w:cs="宋体"/>
                <w:szCs w:val="21"/>
                <w:highlight w:val="none"/>
              </w:rPr>
              <w:t>见</w:t>
            </w:r>
            <w:r>
              <w:rPr>
                <w:rFonts w:hint="eastAsia" w:ascii="宋体" w:hAnsi="宋体" w:cs="宋体"/>
                <w:szCs w:val="21"/>
                <w:highlight w:val="none"/>
                <w:lang w:eastAsia="zh-CN"/>
              </w:rPr>
              <w:t>响应文件</w:t>
            </w:r>
            <w:r>
              <w:rPr>
                <w:rFonts w:hint="eastAsia" w:ascii="宋体" w:hAnsi="宋体" w:cs="宋体"/>
                <w:szCs w:val="21"/>
                <w:highlight w:val="none"/>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jc w:val="center"/>
        </w:trPr>
        <w:tc>
          <w:tcPr>
            <w:tcW w:w="859" w:type="dxa"/>
            <w:vMerge w:val="continue"/>
            <w:tcBorders>
              <w:left w:val="outset" w:color="111111" w:sz="6" w:space="0"/>
              <w:right w:val="outset" w:color="111111" w:sz="6" w:space="0"/>
            </w:tcBorders>
            <w:vAlign w:val="center"/>
          </w:tcPr>
          <w:p>
            <w:pPr>
              <w:pStyle w:val="41"/>
              <w:jc w:val="center"/>
              <w:rPr>
                <w:sz w:val="21"/>
                <w:szCs w:val="21"/>
                <w:highlight w:val="none"/>
              </w:rPr>
            </w:pPr>
          </w:p>
        </w:tc>
        <w:tc>
          <w:tcPr>
            <w:tcW w:w="6264"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Cs w:val="21"/>
                <w:highlight w:val="none"/>
              </w:rPr>
            </w:pPr>
            <w:r>
              <w:rPr>
                <w:rFonts w:hint="eastAsia" w:ascii="宋体" w:hAnsi="宋体" w:cs="宋体"/>
                <w:highlight w:val="none"/>
              </w:rPr>
              <w:t>6、为采购项目提供整体设计、规范编制或者项目管理、监理、检测等服务的供应商，不得再参加该采购项目的其他采购活动。（提供声明函，格式见第五章）</w:t>
            </w:r>
          </w:p>
        </w:tc>
        <w:tc>
          <w:tcPr>
            <w:tcW w:w="1163"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Cs w:val="21"/>
                <w:highlight w:val="none"/>
              </w:rPr>
            </w:pPr>
            <w:r>
              <w:rPr>
                <w:rFonts w:hint="eastAsia" w:ascii="宋体" w:hAnsi="宋体" w:cs="宋体"/>
                <w:szCs w:val="21"/>
                <w:highlight w:val="none"/>
              </w:rPr>
              <w:t>□通过 □不通过</w:t>
            </w:r>
          </w:p>
        </w:tc>
        <w:tc>
          <w:tcPr>
            <w:tcW w:w="1389"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Cs w:val="21"/>
                <w:highlight w:val="none"/>
              </w:rPr>
            </w:pPr>
            <w:r>
              <w:rPr>
                <w:rFonts w:hint="eastAsia" w:ascii="宋体" w:hAnsi="宋体" w:cs="宋体"/>
                <w:szCs w:val="21"/>
                <w:highlight w:val="none"/>
              </w:rPr>
              <w:t>见</w:t>
            </w:r>
            <w:r>
              <w:rPr>
                <w:rFonts w:hint="eastAsia" w:ascii="宋体" w:hAnsi="宋体" w:cs="宋体"/>
                <w:szCs w:val="21"/>
                <w:highlight w:val="none"/>
                <w:lang w:eastAsia="zh-CN"/>
              </w:rPr>
              <w:t>响应文件</w:t>
            </w:r>
            <w:r>
              <w:rPr>
                <w:rFonts w:hint="eastAsia" w:ascii="宋体" w:hAnsi="宋体" w:cs="宋体"/>
                <w:szCs w:val="21"/>
                <w:highlight w:val="none"/>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jc w:val="center"/>
        </w:trPr>
        <w:tc>
          <w:tcPr>
            <w:tcW w:w="859" w:type="dxa"/>
            <w:vMerge w:val="continue"/>
            <w:tcBorders>
              <w:left w:val="outset" w:color="111111" w:sz="6" w:space="0"/>
              <w:bottom w:val="outset" w:color="111111" w:sz="6" w:space="0"/>
              <w:right w:val="outset" w:color="111111" w:sz="6" w:space="0"/>
            </w:tcBorders>
            <w:vAlign w:val="center"/>
          </w:tcPr>
          <w:p>
            <w:pPr>
              <w:pStyle w:val="41"/>
              <w:jc w:val="center"/>
              <w:rPr>
                <w:sz w:val="21"/>
                <w:szCs w:val="21"/>
                <w:highlight w:val="none"/>
              </w:rPr>
            </w:pPr>
          </w:p>
        </w:tc>
        <w:tc>
          <w:tcPr>
            <w:tcW w:w="6264"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highlight w:val="none"/>
              </w:rPr>
            </w:pPr>
            <w:r>
              <w:rPr>
                <w:rFonts w:hint="eastAsia" w:ascii="宋体" w:hAnsi="宋体" w:cs="宋体"/>
                <w:highlight w:val="none"/>
              </w:rPr>
              <w:t>7、供应商所投的电商平台必须具有ICP备案或ICP经营许可证（需提供相关证明材料），确保学校数据和业务安全。</w:t>
            </w:r>
          </w:p>
        </w:tc>
        <w:tc>
          <w:tcPr>
            <w:tcW w:w="1163"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Cs w:val="21"/>
                <w:highlight w:val="none"/>
              </w:rPr>
            </w:pPr>
            <w:r>
              <w:rPr>
                <w:rFonts w:hint="eastAsia" w:ascii="宋体" w:hAnsi="宋体" w:cs="宋体"/>
                <w:szCs w:val="21"/>
                <w:highlight w:val="none"/>
              </w:rPr>
              <w:t>□通过 □不通过</w:t>
            </w:r>
          </w:p>
        </w:tc>
        <w:tc>
          <w:tcPr>
            <w:tcW w:w="1389"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Cs w:val="21"/>
                <w:highlight w:val="none"/>
              </w:rPr>
            </w:pPr>
            <w:r>
              <w:rPr>
                <w:rFonts w:hint="eastAsia" w:ascii="宋体" w:hAnsi="宋体" w:cs="宋体"/>
                <w:szCs w:val="21"/>
                <w:highlight w:val="none"/>
              </w:rPr>
              <w:t>见</w:t>
            </w:r>
            <w:r>
              <w:rPr>
                <w:rFonts w:hint="eastAsia" w:ascii="宋体" w:hAnsi="宋体" w:cs="宋体"/>
                <w:szCs w:val="21"/>
                <w:highlight w:val="none"/>
                <w:lang w:eastAsia="zh-CN"/>
              </w:rPr>
              <w:t>响应文件</w:t>
            </w:r>
            <w:r>
              <w:rPr>
                <w:rFonts w:hint="eastAsia" w:ascii="宋体" w:hAnsi="宋体" w:cs="宋体"/>
                <w:szCs w:val="21"/>
                <w:highlight w:val="none"/>
              </w:rPr>
              <w:t>第（ ）页</w:t>
            </w:r>
          </w:p>
        </w:tc>
      </w:tr>
    </w:tbl>
    <w:p>
      <w:pPr>
        <w:pStyle w:val="16"/>
        <w:tabs>
          <w:tab w:val="left" w:pos="851"/>
        </w:tabs>
        <w:spacing w:after="0" w:line="360" w:lineRule="auto"/>
        <w:rPr>
          <w:rFonts w:ascii="宋体" w:hAnsi="宋体" w:cs="宋体"/>
          <w:sz w:val="21"/>
          <w:szCs w:val="21"/>
          <w:highlight w:val="none"/>
        </w:rPr>
      </w:pPr>
      <w:r>
        <w:rPr>
          <w:rFonts w:hint="eastAsia" w:ascii="宋体" w:hAnsi="宋体" w:cs="宋体"/>
          <w:sz w:val="21"/>
          <w:szCs w:val="21"/>
          <w:highlight w:val="none"/>
        </w:rPr>
        <w:t>注：以上材料将作为供应商有效性审核的重要内容之一，供应商必须严格按照其内容及序列要求在响应文件中对应如实提供，对资格性证明文件的任何缺漏和不符合项将会直接导致无效投标！</w:t>
      </w:r>
    </w:p>
    <w:p>
      <w:pPr>
        <w:pStyle w:val="16"/>
        <w:tabs>
          <w:tab w:val="left" w:pos="851"/>
        </w:tabs>
        <w:spacing w:after="0" w:line="360" w:lineRule="auto"/>
        <w:rPr>
          <w:rFonts w:ascii="宋体" w:hAnsi="宋体" w:cs="宋体"/>
          <w:sz w:val="21"/>
          <w:szCs w:val="21"/>
          <w:highlight w:val="none"/>
        </w:rPr>
      </w:pPr>
    </w:p>
    <w:p>
      <w:pPr>
        <w:pStyle w:val="16"/>
        <w:tabs>
          <w:tab w:val="left" w:pos="851"/>
        </w:tabs>
        <w:spacing w:after="0" w:line="360" w:lineRule="auto"/>
        <w:rPr>
          <w:rFonts w:ascii="宋体" w:hAnsi="宋体" w:cs="宋体"/>
          <w:sz w:val="21"/>
          <w:szCs w:val="21"/>
          <w:highlight w:val="none"/>
        </w:rPr>
      </w:pPr>
      <w:r>
        <w:rPr>
          <w:rFonts w:hint="eastAsia" w:ascii="宋体" w:hAnsi="宋体" w:cs="宋体"/>
          <w:sz w:val="21"/>
          <w:szCs w:val="21"/>
          <w:highlight w:val="none"/>
        </w:rPr>
        <w:br w:type="page"/>
      </w:r>
      <w:r>
        <w:rPr>
          <w:rFonts w:hint="eastAsia" w:ascii="宋体" w:hAnsi="宋体" w:cs="宋体"/>
          <w:sz w:val="21"/>
          <w:szCs w:val="21"/>
          <w:highlight w:val="none"/>
        </w:rPr>
        <w:t>1.2符合性自查表</w:t>
      </w:r>
    </w:p>
    <w:tbl>
      <w:tblPr>
        <w:tblStyle w:val="46"/>
        <w:tblW w:w="9675" w:type="dxa"/>
        <w:jc w:val="center"/>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859"/>
        <w:gridCol w:w="6264"/>
        <w:gridCol w:w="1163"/>
        <w:gridCol w:w="1389"/>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PrEx>
        <w:trPr>
          <w:jc w:val="center"/>
        </w:trPr>
        <w:tc>
          <w:tcPr>
            <w:tcW w:w="859"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Cs w:val="21"/>
                <w:highlight w:val="none"/>
              </w:rPr>
            </w:pPr>
            <w:r>
              <w:rPr>
                <w:rStyle w:val="49"/>
                <w:rFonts w:hint="eastAsia" w:ascii="宋体" w:hAnsi="宋体" w:cs="宋体"/>
                <w:szCs w:val="21"/>
                <w:highlight w:val="none"/>
              </w:rPr>
              <w:t>评审内容</w:t>
            </w:r>
          </w:p>
        </w:tc>
        <w:tc>
          <w:tcPr>
            <w:tcW w:w="6264"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Cs w:val="21"/>
                <w:highlight w:val="none"/>
              </w:rPr>
            </w:pPr>
            <w:r>
              <w:rPr>
                <w:rStyle w:val="49"/>
                <w:rFonts w:hint="eastAsia" w:ascii="宋体" w:hAnsi="宋体" w:cs="宋体"/>
                <w:szCs w:val="21"/>
                <w:highlight w:val="none"/>
              </w:rPr>
              <w:t>竞争性磋商文件要求</w:t>
            </w:r>
          </w:p>
          <w:p>
            <w:pPr>
              <w:jc w:val="center"/>
              <w:rPr>
                <w:rFonts w:ascii="宋体" w:hAnsi="宋体" w:cs="宋体"/>
                <w:szCs w:val="21"/>
                <w:highlight w:val="none"/>
              </w:rPr>
            </w:pPr>
            <w:r>
              <w:rPr>
                <w:rFonts w:hint="eastAsia" w:ascii="宋体" w:hAnsi="宋体" w:cs="宋体"/>
                <w:szCs w:val="21"/>
                <w:highlight w:val="none"/>
              </w:rPr>
              <w:t>（详见《符合性审查表》各项）</w:t>
            </w:r>
          </w:p>
        </w:tc>
        <w:tc>
          <w:tcPr>
            <w:tcW w:w="1163"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Cs w:val="21"/>
                <w:highlight w:val="none"/>
              </w:rPr>
            </w:pPr>
            <w:r>
              <w:rPr>
                <w:rStyle w:val="49"/>
                <w:rFonts w:hint="eastAsia" w:ascii="宋体" w:hAnsi="宋体" w:cs="宋体"/>
                <w:szCs w:val="21"/>
                <w:highlight w:val="none"/>
              </w:rPr>
              <w:t>自查结论</w:t>
            </w:r>
          </w:p>
        </w:tc>
        <w:tc>
          <w:tcPr>
            <w:tcW w:w="1389"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Cs w:val="21"/>
                <w:highlight w:val="none"/>
              </w:rPr>
            </w:pPr>
            <w:r>
              <w:rPr>
                <w:rStyle w:val="49"/>
                <w:rFonts w:hint="eastAsia" w:ascii="宋体" w:hAnsi="宋体" w:cs="宋体"/>
                <w:szCs w:val="21"/>
                <w:highlight w:val="none"/>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PrEx>
        <w:trPr>
          <w:jc w:val="center"/>
        </w:trPr>
        <w:tc>
          <w:tcPr>
            <w:tcW w:w="859" w:type="dxa"/>
            <w:vMerge w:val="restart"/>
            <w:tcBorders>
              <w:top w:val="outset" w:color="111111" w:sz="6" w:space="0"/>
              <w:left w:val="outset" w:color="111111" w:sz="6" w:space="0"/>
              <w:right w:val="outset" w:color="111111" w:sz="6" w:space="0"/>
            </w:tcBorders>
            <w:vAlign w:val="center"/>
          </w:tcPr>
          <w:p>
            <w:pPr>
              <w:pStyle w:val="41"/>
              <w:jc w:val="center"/>
              <w:rPr>
                <w:sz w:val="21"/>
                <w:szCs w:val="21"/>
                <w:highlight w:val="none"/>
              </w:rPr>
            </w:pPr>
            <w:r>
              <w:rPr>
                <w:rFonts w:hint="eastAsia"/>
                <w:sz w:val="21"/>
                <w:szCs w:val="21"/>
                <w:highlight w:val="none"/>
              </w:rPr>
              <w:t>符合性审查</w:t>
            </w:r>
          </w:p>
        </w:tc>
        <w:tc>
          <w:tcPr>
            <w:tcW w:w="6264"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b/>
                <w:bCs/>
                <w:kern w:val="2"/>
                <w:szCs w:val="21"/>
                <w:highlight w:val="none"/>
              </w:rPr>
            </w:pPr>
            <w:r>
              <w:rPr>
                <w:rFonts w:hint="eastAsia" w:ascii="宋体" w:hAnsi="宋体" w:cs="宋体"/>
                <w:szCs w:val="21"/>
                <w:highlight w:val="none"/>
              </w:rPr>
              <w:t>1.供应商按照磋商文件要求交纳磋商保证金。</w:t>
            </w:r>
          </w:p>
        </w:tc>
        <w:tc>
          <w:tcPr>
            <w:tcW w:w="1163"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Cs w:val="21"/>
                <w:highlight w:val="none"/>
              </w:rPr>
            </w:pPr>
            <w:r>
              <w:rPr>
                <w:rFonts w:hint="eastAsia" w:ascii="宋体" w:hAnsi="宋体" w:cs="宋体"/>
                <w:szCs w:val="21"/>
                <w:highlight w:val="none"/>
              </w:rPr>
              <w:t>□通过 □不通过</w:t>
            </w:r>
          </w:p>
        </w:tc>
        <w:tc>
          <w:tcPr>
            <w:tcW w:w="1389"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Cs w:val="21"/>
                <w:highlight w:val="none"/>
              </w:rPr>
            </w:pPr>
            <w:r>
              <w:rPr>
                <w:rFonts w:hint="eastAsia" w:ascii="宋体" w:hAnsi="宋体" w:cs="宋体"/>
                <w:szCs w:val="21"/>
                <w:highlight w:val="none"/>
              </w:rPr>
              <w:t>见</w:t>
            </w:r>
            <w:r>
              <w:rPr>
                <w:rFonts w:hint="eastAsia" w:ascii="宋体" w:hAnsi="宋体" w:cs="宋体"/>
                <w:szCs w:val="21"/>
                <w:highlight w:val="none"/>
                <w:lang w:eastAsia="zh-CN"/>
              </w:rPr>
              <w:t>响应文件</w:t>
            </w:r>
            <w:r>
              <w:rPr>
                <w:rFonts w:hint="eastAsia" w:ascii="宋体" w:hAnsi="宋体" w:cs="宋体"/>
                <w:szCs w:val="21"/>
                <w:highlight w:val="none"/>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jc w:val="center"/>
        </w:trPr>
        <w:tc>
          <w:tcPr>
            <w:tcW w:w="859" w:type="dxa"/>
            <w:vMerge w:val="continue"/>
            <w:tcBorders>
              <w:left w:val="outset" w:color="111111" w:sz="6" w:space="0"/>
              <w:right w:val="outset" w:color="111111" w:sz="6" w:space="0"/>
            </w:tcBorders>
            <w:vAlign w:val="center"/>
          </w:tcPr>
          <w:p>
            <w:pPr>
              <w:rPr>
                <w:rFonts w:ascii="宋体" w:hAnsi="宋体" w:cs="宋体"/>
                <w:szCs w:val="21"/>
                <w:highlight w:val="none"/>
              </w:rPr>
            </w:pPr>
          </w:p>
        </w:tc>
        <w:tc>
          <w:tcPr>
            <w:tcW w:w="6264"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Cs w:val="21"/>
                <w:highlight w:val="none"/>
              </w:rPr>
            </w:pPr>
            <w:r>
              <w:rPr>
                <w:rFonts w:hint="eastAsia" w:ascii="宋体" w:hAnsi="宋体" w:cs="宋体"/>
                <w:highlight w:val="none"/>
              </w:rPr>
              <w:t>2. 响应文件完整且编排有序，无重大错漏，并按要求签署、盖章。</w:t>
            </w:r>
          </w:p>
        </w:tc>
        <w:tc>
          <w:tcPr>
            <w:tcW w:w="1163"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Cs w:val="21"/>
                <w:highlight w:val="none"/>
              </w:rPr>
            </w:pPr>
            <w:r>
              <w:rPr>
                <w:rFonts w:hint="eastAsia" w:ascii="宋体" w:hAnsi="宋体" w:cs="宋体"/>
                <w:szCs w:val="21"/>
                <w:highlight w:val="none"/>
              </w:rPr>
              <w:t>□通过 □不通过</w:t>
            </w:r>
          </w:p>
        </w:tc>
        <w:tc>
          <w:tcPr>
            <w:tcW w:w="1389"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Cs w:val="21"/>
                <w:highlight w:val="none"/>
              </w:rPr>
            </w:pPr>
            <w:r>
              <w:rPr>
                <w:rFonts w:hint="eastAsia" w:ascii="宋体" w:hAnsi="宋体" w:cs="宋体"/>
                <w:szCs w:val="21"/>
                <w:highlight w:val="none"/>
              </w:rPr>
              <w:t>见</w:t>
            </w:r>
            <w:r>
              <w:rPr>
                <w:rFonts w:hint="eastAsia" w:ascii="宋体" w:hAnsi="宋体" w:cs="宋体"/>
                <w:szCs w:val="21"/>
                <w:highlight w:val="none"/>
                <w:lang w:eastAsia="zh-CN"/>
              </w:rPr>
              <w:t>响应文件</w:t>
            </w:r>
            <w:r>
              <w:rPr>
                <w:rFonts w:hint="eastAsia" w:ascii="宋体" w:hAnsi="宋体" w:cs="宋体"/>
                <w:szCs w:val="21"/>
                <w:highlight w:val="none"/>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jc w:val="center"/>
        </w:trPr>
        <w:tc>
          <w:tcPr>
            <w:tcW w:w="859" w:type="dxa"/>
            <w:vMerge w:val="continue"/>
            <w:tcBorders>
              <w:left w:val="outset" w:color="111111" w:sz="6" w:space="0"/>
              <w:right w:val="outset" w:color="111111" w:sz="6" w:space="0"/>
            </w:tcBorders>
            <w:vAlign w:val="center"/>
          </w:tcPr>
          <w:p>
            <w:pPr>
              <w:rPr>
                <w:rFonts w:ascii="宋体" w:hAnsi="宋体" w:cs="宋体"/>
                <w:szCs w:val="21"/>
                <w:highlight w:val="none"/>
              </w:rPr>
            </w:pPr>
          </w:p>
        </w:tc>
        <w:tc>
          <w:tcPr>
            <w:tcW w:w="6264"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Cs w:val="21"/>
                <w:highlight w:val="none"/>
              </w:rPr>
            </w:pPr>
            <w:r>
              <w:rPr>
                <w:rFonts w:hint="eastAsia" w:ascii="宋体" w:hAnsi="宋体" w:cs="宋体"/>
                <w:highlight w:val="none"/>
              </w:rPr>
              <w:t>3. 法定代表人/负责人资格证明书及授权委托书，按对应格式文件签署、盖章(原件)。</w:t>
            </w:r>
          </w:p>
        </w:tc>
        <w:tc>
          <w:tcPr>
            <w:tcW w:w="1163"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Cs w:val="21"/>
                <w:highlight w:val="none"/>
              </w:rPr>
            </w:pPr>
            <w:r>
              <w:rPr>
                <w:rFonts w:hint="eastAsia" w:ascii="宋体" w:hAnsi="宋体" w:cs="宋体"/>
                <w:szCs w:val="21"/>
                <w:highlight w:val="none"/>
              </w:rPr>
              <w:t>□通过 □不通过</w:t>
            </w:r>
          </w:p>
        </w:tc>
        <w:tc>
          <w:tcPr>
            <w:tcW w:w="1389"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Cs w:val="21"/>
                <w:highlight w:val="none"/>
              </w:rPr>
            </w:pPr>
            <w:r>
              <w:rPr>
                <w:rFonts w:hint="eastAsia" w:ascii="宋体" w:hAnsi="宋体" w:cs="宋体"/>
                <w:szCs w:val="21"/>
                <w:highlight w:val="none"/>
              </w:rPr>
              <w:t>见</w:t>
            </w:r>
            <w:r>
              <w:rPr>
                <w:rFonts w:hint="eastAsia" w:ascii="宋体" w:hAnsi="宋体" w:cs="宋体"/>
                <w:szCs w:val="21"/>
                <w:highlight w:val="none"/>
                <w:lang w:eastAsia="zh-CN"/>
              </w:rPr>
              <w:t>响应文件</w:t>
            </w:r>
            <w:r>
              <w:rPr>
                <w:rFonts w:hint="eastAsia" w:ascii="宋体" w:hAnsi="宋体" w:cs="宋体"/>
                <w:szCs w:val="21"/>
                <w:highlight w:val="none"/>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jc w:val="center"/>
        </w:trPr>
        <w:tc>
          <w:tcPr>
            <w:tcW w:w="859" w:type="dxa"/>
            <w:vMerge w:val="continue"/>
            <w:tcBorders>
              <w:left w:val="outset" w:color="111111" w:sz="6" w:space="0"/>
              <w:right w:val="outset" w:color="111111" w:sz="6" w:space="0"/>
            </w:tcBorders>
            <w:vAlign w:val="center"/>
          </w:tcPr>
          <w:p>
            <w:pPr>
              <w:rPr>
                <w:rFonts w:ascii="宋体" w:hAnsi="宋体" w:cs="宋体"/>
                <w:szCs w:val="21"/>
                <w:highlight w:val="none"/>
              </w:rPr>
            </w:pPr>
          </w:p>
        </w:tc>
        <w:tc>
          <w:tcPr>
            <w:tcW w:w="6264"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Cs w:val="21"/>
                <w:highlight w:val="none"/>
              </w:rPr>
            </w:pPr>
            <w:r>
              <w:rPr>
                <w:rFonts w:hint="eastAsia" w:ascii="宋体" w:hAnsi="宋体" w:cs="宋体"/>
                <w:highlight w:val="none"/>
              </w:rPr>
              <w:t xml:space="preserve">4. </w:t>
            </w:r>
            <w:r>
              <w:rPr>
                <w:rFonts w:hint="eastAsia" w:ascii="宋体" w:hAnsi="宋体" w:cs="宋体"/>
                <w:highlight w:val="none"/>
                <w:lang w:val="en-US" w:eastAsia="zh-CN"/>
              </w:rPr>
              <w:t>投标</w:t>
            </w:r>
            <w:r>
              <w:rPr>
                <w:rFonts w:hint="eastAsia" w:ascii="宋体" w:hAnsi="宋体" w:cs="宋体"/>
                <w:highlight w:val="none"/>
              </w:rPr>
              <w:t>有效期满足磋商文件要求。</w:t>
            </w:r>
          </w:p>
        </w:tc>
        <w:tc>
          <w:tcPr>
            <w:tcW w:w="1163"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Cs w:val="21"/>
                <w:highlight w:val="none"/>
              </w:rPr>
            </w:pPr>
            <w:r>
              <w:rPr>
                <w:rFonts w:hint="eastAsia" w:ascii="宋体" w:hAnsi="宋体" w:cs="宋体"/>
                <w:szCs w:val="21"/>
                <w:highlight w:val="none"/>
              </w:rPr>
              <w:t>□通过 □不通过</w:t>
            </w:r>
          </w:p>
        </w:tc>
        <w:tc>
          <w:tcPr>
            <w:tcW w:w="1389"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Cs w:val="21"/>
                <w:highlight w:val="none"/>
              </w:rPr>
            </w:pPr>
            <w:r>
              <w:rPr>
                <w:rFonts w:hint="eastAsia" w:ascii="宋体" w:hAnsi="宋体" w:cs="宋体"/>
                <w:szCs w:val="21"/>
                <w:highlight w:val="none"/>
              </w:rPr>
              <w:t>见</w:t>
            </w:r>
            <w:r>
              <w:rPr>
                <w:rFonts w:hint="eastAsia" w:ascii="宋体" w:hAnsi="宋体" w:cs="宋体"/>
                <w:szCs w:val="21"/>
                <w:highlight w:val="none"/>
                <w:lang w:eastAsia="zh-CN"/>
              </w:rPr>
              <w:t>响应文件</w:t>
            </w:r>
            <w:r>
              <w:rPr>
                <w:rFonts w:hint="eastAsia" w:ascii="宋体" w:hAnsi="宋体" w:cs="宋体"/>
                <w:szCs w:val="21"/>
                <w:highlight w:val="none"/>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jc w:val="center"/>
        </w:trPr>
        <w:tc>
          <w:tcPr>
            <w:tcW w:w="859" w:type="dxa"/>
            <w:vMerge w:val="continue"/>
            <w:tcBorders>
              <w:left w:val="outset" w:color="111111" w:sz="6" w:space="0"/>
              <w:right w:val="outset" w:color="111111" w:sz="6" w:space="0"/>
            </w:tcBorders>
            <w:vAlign w:val="center"/>
          </w:tcPr>
          <w:p>
            <w:pPr>
              <w:rPr>
                <w:rFonts w:ascii="宋体" w:hAnsi="宋体" w:cs="宋体"/>
                <w:szCs w:val="21"/>
                <w:highlight w:val="none"/>
              </w:rPr>
            </w:pPr>
          </w:p>
        </w:tc>
        <w:tc>
          <w:tcPr>
            <w:tcW w:w="6264"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Cs w:val="21"/>
                <w:highlight w:val="none"/>
              </w:rPr>
            </w:pPr>
            <w:r>
              <w:rPr>
                <w:rFonts w:hint="eastAsia" w:ascii="宋体" w:hAnsi="宋体" w:cs="宋体"/>
                <w:szCs w:val="21"/>
                <w:highlight w:val="none"/>
              </w:rPr>
              <w:t>5.响应文件完全满足磋商文件中加注“★”号的条款或指标。</w:t>
            </w:r>
          </w:p>
        </w:tc>
        <w:tc>
          <w:tcPr>
            <w:tcW w:w="1163"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Cs w:val="21"/>
                <w:highlight w:val="none"/>
              </w:rPr>
            </w:pPr>
            <w:r>
              <w:rPr>
                <w:rFonts w:hint="eastAsia" w:ascii="宋体" w:hAnsi="宋体" w:cs="宋体"/>
                <w:szCs w:val="21"/>
                <w:highlight w:val="none"/>
              </w:rPr>
              <w:t>□通过 □不通过</w:t>
            </w:r>
          </w:p>
        </w:tc>
        <w:tc>
          <w:tcPr>
            <w:tcW w:w="1389"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Cs w:val="21"/>
                <w:highlight w:val="none"/>
              </w:rPr>
            </w:pPr>
            <w:r>
              <w:rPr>
                <w:rFonts w:hint="eastAsia" w:ascii="宋体" w:hAnsi="宋体" w:cs="宋体"/>
                <w:szCs w:val="21"/>
                <w:highlight w:val="none"/>
              </w:rPr>
              <w:t>见</w:t>
            </w:r>
            <w:r>
              <w:rPr>
                <w:rFonts w:hint="eastAsia" w:ascii="宋体" w:hAnsi="宋体" w:cs="宋体"/>
                <w:szCs w:val="21"/>
                <w:highlight w:val="none"/>
                <w:lang w:eastAsia="zh-CN"/>
              </w:rPr>
              <w:t>响应文件</w:t>
            </w:r>
            <w:r>
              <w:rPr>
                <w:rFonts w:hint="eastAsia" w:ascii="宋体" w:hAnsi="宋体" w:cs="宋体"/>
                <w:szCs w:val="21"/>
                <w:highlight w:val="none"/>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jc w:val="center"/>
        </w:trPr>
        <w:tc>
          <w:tcPr>
            <w:tcW w:w="859" w:type="dxa"/>
            <w:vMerge w:val="continue"/>
            <w:tcBorders>
              <w:left w:val="outset" w:color="111111" w:sz="6" w:space="0"/>
              <w:right w:val="outset" w:color="111111" w:sz="6" w:space="0"/>
            </w:tcBorders>
            <w:vAlign w:val="center"/>
          </w:tcPr>
          <w:p>
            <w:pPr>
              <w:rPr>
                <w:rFonts w:ascii="宋体" w:hAnsi="宋体" w:cs="宋体"/>
                <w:szCs w:val="21"/>
                <w:highlight w:val="none"/>
              </w:rPr>
            </w:pPr>
          </w:p>
        </w:tc>
        <w:tc>
          <w:tcPr>
            <w:tcW w:w="6264"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Cs w:val="21"/>
                <w:highlight w:val="none"/>
              </w:rPr>
            </w:pPr>
            <w:r>
              <w:rPr>
                <w:rFonts w:hint="eastAsia" w:ascii="宋体" w:hAnsi="宋体" w:cs="宋体"/>
                <w:szCs w:val="21"/>
                <w:highlight w:val="none"/>
              </w:rPr>
              <w:t>6.评审期间，供应商按照磋商小组的要求提交经授权代表签字的澄清、说明、补正或没有改变响应文件的实质性内容。</w:t>
            </w:r>
          </w:p>
        </w:tc>
        <w:tc>
          <w:tcPr>
            <w:tcW w:w="1163"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Cs w:val="21"/>
                <w:highlight w:val="none"/>
              </w:rPr>
            </w:pPr>
            <w:r>
              <w:rPr>
                <w:rFonts w:hint="eastAsia" w:ascii="宋体" w:hAnsi="宋体" w:cs="宋体"/>
                <w:szCs w:val="21"/>
                <w:highlight w:val="none"/>
              </w:rPr>
              <w:t>□通过 □不通过</w:t>
            </w:r>
          </w:p>
        </w:tc>
        <w:tc>
          <w:tcPr>
            <w:tcW w:w="1389"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Cs w:val="21"/>
                <w:highlight w:val="none"/>
              </w:rPr>
            </w:pPr>
            <w:r>
              <w:rPr>
                <w:rFonts w:hint="eastAsia" w:ascii="宋体" w:hAnsi="宋体" w:cs="宋体"/>
                <w:szCs w:val="21"/>
                <w:highlight w:val="none"/>
              </w:rPr>
              <w:t>见</w:t>
            </w:r>
            <w:r>
              <w:rPr>
                <w:rFonts w:hint="eastAsia" w:ascii="宋体" w:hAnsi="宋体" w:cs="宋体"/>
                <w:szCs w:val="21"/>
                <w:highlight w:val="none"/>
                <w:lang w:eastAsia="zh-CN"/>
              </w:rPr>
              <w:t>响应文件</w:t>
            </w:r>
            <w:r>
              <w:rPr>
                <w:rFonts w:hint="eastAsia" w:ascii="宋体" w:hAnsi="宋体" w:cs="宋体"/>
                <w:szCs w:val="21"/>
                <w:highlight w:val="none"/>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jc w:val="center"/>
        </w:trPr>
        <w:tc>
          <w:tcPr>
            <w:tcW w:w="859" w:type="dxa"/>
            <w:vMerge w:val="continue"/>
            <w:tcBorders>
              <w:left w:val="outset" w:color="111111" w:sz="6" w:space="0"/>
              <w:right w:val="outset" w:color="111111" w:sz="6" w:space="0"/>
            </w:tcBorders>
            <w:vAlign w:val="center"/>
          </w:tcPr>
          <w:p>
            <w:pPr>
              <w:rPr>
                <w:rFonts w:ascii="宋体" w:hAnsi="宋体" w:cs="宋体"/>
                <w:szCs w:val="21"/>
                <w:highlight w:val="none"/>
              </w:rPr>
            </w:pPr>
          </w:p>
        </w:tc>
        <w:tc>
          <w:tcPr>
            <w:tcW w:w="6264"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Cs w:val="21"/>
                <w:highlight w:val="none"/>
              </w:rPr>
            </w:pPr>
            <w:r>
              <w:rPr>
                <w:rFonts w:hint="eastAsia" w:ascii="宋体" w:hAnsi="宋体" w:cs="宋体"/>
                <w:szCs w:val="21"/>
                <w:highlight w:val="none"/>
              </w:rPr>
              <w:t>7.不属于法律、法规、规章规定无效响应的其他情形。</w:t>
            </w:r>
          </w:p>
        </w:tc>
        <w:tc>
          <w:tcPr>
            <w:tcW w:w="1163"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Cs w:val="21"/>
                <w:highlight w:val="none"/>
              </w:rPr>
            </w:pPr>
            <w:r>
              <w:rPr>
                <w:rFonts w:hint="eastAsia" w:ascii="宋体" w:hAnsi="宋体" w:cs="宋体"/>
                <w:szCs w:val="21"/>
                <w:highlight w:val="none"/>
              </w:rPr>
              <w:t>□通过 □不通过</w:t>
            </w:r>
          </w:p>
        </w:tc>
        <w:tc>
          <w:tcPr>
            <w:tcW w:w="1389"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Cs w:val="21"/>
                <w:highlight w:val="none"/>
              </w:rPr>
            </w:pPr>
            <w:r>
              <w:rPr>
                <w:rFonts w:hint="eastAsia" w:ascii="宋体" w:hAnsi="宋体" w:cs="宋体"/>
                <w:szCs w:val="21"/>
                <w:highlight w:val="none"/>
              </w:rPr>
              <w:t>见</w:t>
            </w:r>
            <w:r>
              <w:rPr>
                <w:rFonts w:hint="eastAsia" w:ascii="宋体" w:hAnsi="宋体" w:cs="宋体"/>
                <w:szCs w:val="21"/>
                <w:highlight w:val="none"/>
                <w:lang w:eastAsia="zh-CN"/>
              </w:rPr>
              <w:t>响应文件</w:t>
            </w:r>
            <w:r>
              <w:rPr>
                <w:rFonts w:hint="eastAsia" w:ascii="宋体" w:hAnsi="宋体" w:cs="宋体"/>
                <w:szCs w:val="21"/>
                <w:highlight w:val="none"/>
              </w:rPr>
              <w:t>第（ ）页</w:t>
            </w:r>
          </w:p>
        </w:tc>
      </w:tr>
    </w:tbl>
    <w:p>
      <w:pPr>
        <w:pStyle w:val="16"/>
        <w:tabs>
          <w:tab w:val="left" w:pos="851"/>
        </w:tabs>
        <w:spacing w:after="0" w:line="360" w:lineRule="auto"/>
        <w:rPr>
          <w:rFonts w:ascii="宋体" w:hAnsi="宋体" w:cs="宋体"/>
          <w:sz w:val="21"/>
          <w:szCs w:val="21"/>
          <w:highlight w:val="none"/>
        </w:rPr>
      </w:pPr>
      <w:r>
        <w:rPr>
          <w:rFonts w:hint="eastAsia" w:ascii="宋体" w:hAnsi="宋体" w:cs="宋体"/>
          <w:sz w:val="21"/>
          <w:szCs w:val="21"/>
          <w:highlight w:val="none"/>
        </w:rPr>
        <w:t>注：以上材料将作为供应商有效性审核的重要内容之一，供应商必须严格按照其内容及序列要求在响应文件中对应如实提供，对符合性证明文件的任何缺漏和不符合项将会直接导致无效投标！</w:t>
      </w:r>
    </w:p>
    <w:p>
      <w:pPr>
        <w:pStyle w:val="16"/>
        <w:tabs>
          <w:tab w:val="left" w:pos="851"/>
        </w:tabs>
        <w:spacing w:after="0" w:line="360" w:lineRule="auto"/>
        <w:rPr>
          <w:rFonts w:ascii="宋体" w:hAnsi="宋体" w:cs="宋体"/>
          <w:sz w:val="21"/>
          <w:szCs w:val="21"/>
          <w:highlight w:val="none"/>
        </w:rPr>
      </w:pPr>
    </w:p>
    <w:p>
      <w:pPr>
        <w:pStyle w:val="16"/>
        <w:tabs>
          <w:tab w:val="left" w:pos="851"/>
        </w:tabs>
        <w:spacing w:after="0" w:line="360" w:lineRule="auto"/>
        <w:rPr>
          <w:rFonts w:ascii="宋体" w:hAnsi="宋体" w:cs="宋体"/>
          <w:sz w:val="21"/>
          <w:szCs w:val="21"/>
          <w:highlight w:val="none"/>
        </w:rPr>
      </w:pPr>
    </w:p>
    <w:p>
      <w:pPr>
        <w:pStyle w:val="16"/>
        <w:tabs>
          <w:tab w:val="left" w:pos="851"/>
        </w:tabs>
        <w:spacing w:after="0" w:line="360" w:lineRule="auto"/>
        <w:rPr>
          <w:rFonts w:ascii="宋体" w:hAnsi="宋体" w:cs="宋体"/>
          <w:sz w:val="21"/>
          <w:szCs w:val="21"/>
          <w:highlight w:val="none"/>
        </w:rPr>
      </w:pPr>
    </w:p>
    <w:p>
      <w:pPr>
        <w:pStyle w:val="16"/>
        <w:tabs>
          <w:tab w:val="left" w:pos="851"/>
        </w:tabs>
        <w:spacing w:after="0" w:line="360" w:lineRule="auto"/>
        <w:rPr>
          <w:rFonts w:ascii="宋体" w:hAnsi="宋体" w:cs="宋体"/>
          <w:sz w:val="21"/>
          <w:szCs w:val="21"/>
          <w:highlight w:val="none"/>
        </w:rPr>
      </w:pPr>
    </w:p>
    <w:p>
      <w:pPr>
        <w:pStyle w:val="16"/>
        <w:tabs>
          <w:tab w:val="left" w:pos="851"/>
        </w:tabs>
        <w:spacing w:after="0" w:line="360" w:lineRule="auto"/>
        <w:ind w:left="850" w:hanging="850" w:hangingChars="405"/>
        <w:rPr>
          <w:rFonts w:ascii="宋体" w:hAnsi="宋体" w:cs="宋体"/>
          <w:sz w:val="21"/>
          <w:szCs w:val="21"/>
          <w:highlight w:val="none"/>
        </w:rPr>
      </w:pPr>
      <w:r>
        <w:rPr>
          <w:rFonts w:hint="eastAsia" w:ascii="宋体" w:hAnsi="宋体" w:cs="宋体"/>
          <w:sz w:val="21"/>
          <w:szCs w:val="21"/>
          <w:highlight w:val="none"/>
        </w:rPr>
        <w:br w:type="page"/>
      </w:r>
      <w:r>
        <w:rPr>
          <w:rFonts w:hint="eastAsia" w:ascii="宋体" w:hAnsi="宋体" w:cs="宋体"/>
          <w:sz w:val="21"/>
          <w:szCs w:val="21"/>
          <w:highlight w:val="none"/>
        </w:rPr>
        <w:t>1.3</w:t>
      </w:r>
      <w:r>
        <w:rPr>
          <w:rFonts w:hint="eastAsia" w:ascii="宋体" w:hAnsi="宋体" w:cs="宋体"/>
          <w:sz w:val="21"/>
          <w:szCs w:val="21"/>
          <w:highlight w:val="none"/>
          <w:lang w:val="en-GB"/>
        </w:rPr>
        <w:t>“★”</w:t>
      </w:r>
      <w:r>
        <w:rPr>
          <w:rFonts w:hint="eastAsia" w:ascii="宋体" w:hAnsi="宋体" w:cs="宋体"/>
          <w:sz w:val="21"/>
          <w:szCs w:val="21"/>
          <w:highlight w:val="none"/>
        </w:rPr>
        <w:t>条款自查表</w:t>
      </w:r>
    </w:p>
    <w:tbl>
      <w:tblPr>
        <w:tblStyle w:val="46"/>
        <w:tblW w:w="91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5225"/>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highlight w:val="none"/>
              </w:rPr>
            </w:pPr>
            <w:r>
              <w:rPr>
                <w:rFonts w:hint="eastAsia" w:ascii="宋体" w:hAnsi="宋体" w:cs="宋体"/>
                <w:b/>
                <w:bCs/>
                <w:szCs w:val="21"/>
                <w:highlight w:val="none"/>
              </w:rPr>
              <w:t>序号</w:t>
            </w:r>
          </w:p>
        </w:tc>
        <w:tc>
          <w:tcPr>
            <w:tcW w:w="52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highlight w:val="none"/>
              </w:rPr>
            </w:pPr>
            <w:r>
              <w:rPr>
                <w:rFonts w:hint="eastAsia" w:ascii="宋体" w:hAnsi="宋体" w:cs="宋体"/>
                <w:b/>
                <w:bCs/>
                <w:szCs w:val="21"/>
                <w:highlight w:val="none"/>
                <w:lang w:val="en-GB"/>
              </w:rPr>
              <w:t>“★”</w:t>
            </w:r>
            <w:r>
              <w:rPr>
                <w:rFonts w:hint="eastAsia" w:ascii="宋体" w:hAnsi="宋体" w:cs="宋体"/>
                <w:b/>
                <w:bCs/>
                <w:szCs w:val="21"/>
                <w:highlight w:val="none"/>
              </w:rPr>
              <w:t>条款要求</w:t>
            </w:r>
          </w:p>
        </w:tc>
        <w:tc>
          <w:tcPr>
            <w:tcW w:w="25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highlight w:val="none"/>
              </w:rPr>
            </w:pPr>
            <w:r>
              <w:rPr>
                <w:rFonts w:hint="eastAsia" w:ascii="宋体" w:hAnsi="宋体" w:cs="宋体"/>
                <w:b/>
                <w:bCs/>
                <w:szCs w:val="21"/>
                <w:highlight w:val="none"/>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06"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cs="宋体"/>
                <w:szCs w:val="21"/>
                <w:highlight w:val="none"/>
              </w:rPr>
            </w:pPr>
            <w:r>
              <w:rPr>
                <w:rFonts w:hint="eastAsia" w:ascii="宋体" w:hAnsi="宋体" w:cs="宋体"/>
                <w:szCs w:val="21"/>
                <w:highlight w:val="none"/>
              </w:rPr>
              <w:t>1</w:t>
            </w:r>
          </w:p>
        </w:tc>
        <w:tc>
          <w:tcPr>
            <w:tcW w:w="52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p>
        </w:tc>
        <w:tc>
          <w:tcPr>
            <w:tcW w:w="25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见</w:t>
            </w:r>
            <w:r>
              <w:rPr>
                <w:rFonts w:hint="eastAsia" w:ascii="宋体" w:hAnsi="宋体" w:cs="宋体"/>
                <w:highlight w:val="none"/>
                <w:lang w:eastAsia="zh-CN"/>
              </w:rPr>
              <w:t>响应文件</w:t>
            </w:r>
            <w:r>
              <w:rPr>
                <w:rFonts w:hint="eastAsia" w:ascii="宋体" w:hAnsi="宋体" w:cs="宋体"/>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06"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cs="宋体"/>
                <w:szCs w:val="21"/>
                <w:highlight w:val="none"/>
              </w:rPr>
            </w:pPr>
            <w:r>
              <w:rPr>
                <w:rFonts w:hint="eastAsia" w:ascii="宋体" w:hAnsi="宋体" w:cs="宋体"/>
                <w:szCs w:val="21"/>
                <w:highlight w:val="none"/>
              </w:rPr>
              <w:t>2</w:t>
            </w:r>
          </w:p>
        </w:tc>
        <w:tc>
          <w:tcPr>
            <w:tcW w:w="52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p>
        </w:tc>
        <w:tc>
          <w:tcPr>
            <w:tcW w:w="25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szCs w:val="21"/>
                <w:highlight w:val="none"/>
              </w:rPr>
              <w:t>见</w:t>
            </w:r>
            <w:r>
              <w:rPr>
                <w:rFonts w:hint="eastAsia" w:ascii="宋体" w:hAnsi="宋体" w:cs="宋体"/>
                <w:highlight w:val="none"/>
                <w:lang w:eastAsia="zh-CN"/>
              </w:rPr>
              <w:t>响应文件</w:t>
            </w:r>
            <w:r>
              <w:rPr>
                <w:rFonts w:hint="eastAsia" w:ascii="宋体" w:hAnsi="宋体" w:cs="宋体"/>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06"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cs="宋体"/>
                <w:szCs w:val="21"/>
                <w:highlight w:val="none"/>
              </w:rPr>
            </w:pPr>
            <w:r>
              <w:rPr>
                <w:rFonts w:hint="eastAsia" w:ascii="宋体" w:hAnsi="宋体" w:cs="宋体"/>
                <w:szCs w:val="21"/>
                <w:highlight w:val="none"/>
              </w:rPr>
              <w:t>3</w:t>
            </w:r>
          </w:p>
        </w:tc>
        <w:tc>
          <w:tcPr>
            <w:tcW w:w="52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p>
        </w:tc>
        <w:tc>
          <w:tcPr>
            <w:tcW w:w="25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szCs w:val="21"/>
                <w:highlight w:val="none"/>
              </w:rPr>
              <w:t>见</w:t>
            </w:r>
            <w:r>
              <w:rPr>
                <w:rFonts w:hint="eastAsia" w:ascii="宋体" w:hAnsi="宋体" w:cs="宋体"/>
                <w:highlight w:val="none"/>
                <w:lang w:eastAsia="zh-CN"/>
              </w:rPr>
              <w:t>响应文件</w:t>
            </w:r>
            <w:r>
              <w:rPr>
                <w:rFonts w:hint="eastAsia" w:ascii="宋体" w:hAnsi="宋体" w:cs="宋体"/>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06"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cs="宋体"/>
                <w:szCs w:val="21"/>
                <w:highlight w:val="none"/>
              </w:rPr>
            </w:pPr>
            <w:r>
              <w:rPr>
                <w:rFonts w:hint="eastAsia" w:ascii="宋体" w:hAnsi="宋体" w:cs="宋体"/>
                <w:szCs w:val="21"/>
                <w:highlight w:val="none"/>
              </w:rPr>
              <w:t>4</w:t>
            </w:r>
          </w:p>
        </w:tc>
        <w:tc>
          <w:tcPr>
            <w:tcW w:w="52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p>
        </w:tc>
        <w:tc>
          <w:tcPr>
            <w:tcW w:w="25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szCs w:val="21"/>
                <w:highlight w:val="none"/>
              </w:rPr>
              <w:t>见</w:t>
            </w:r>
            <w:r>
              <w:rPr>
                <w:rFonts w:hint="eastAsia" w:ascii="宋体" w:hAnsi="宋体" w:cs="宋体"/>
                <w:highlight w:val="none"/>
                <w:lang w:eastAsia="zh-CN"/>
              </w:rPr>
              <w:t>响应文件</w:t>
            </w:r>
            <w:r>
              <w:rPr>
                <w:rFonts w:hint="eastAsia" w:ascii="宋体" w:hAnsi="宋体" w:cs="宋体"/>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06"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cs="宋体"/>
                <w:szCs w:val="21"/>
                <w:highlight w:val="none"/>
              </w:rPr>
            </w:pPr>
            <w:r>
              <w:rPr>
                <w:rFonts w:hint="eastAsia" w:ascii="宋体" w:hAnsi="宋体" w:cs="宋体"/>
                <w:szCs w:val="21"/>
                <w:highlight w:val="none"/>
              </w:rPr>
              <w:t>5</w:t>
            </w:r>
          </w:p>
        </w:tc>
        <w:tc>
          <w:tcPr>
            <w:tcW w:w="52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i/>
                <w:iCs/>
                <w:szCs w:val="21"/>
                <w:highlight w:val="none"/>
              </w:rPr>
            </w:pPr>
          </w:p>
        </w:tc>
        <w:tc>
          <w:tcPr>
            <w:tcW w:w="25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szCs w:val="21"/>
                <w:highlight w:val="none"/>
              </w:rPr>
              <w:t>见</w:t>
            </w:r>
            <w:r>
              <w:rPr>
                <w:rFonts w:hint="eastAsia" w:ascii="宋体" w:hAnsi="宋体" w:cs="宋体"/>
                <w:highlight w:val="none"/>
                <w:lang w:eastAsia="zh-CN"/>
              </w:rPr>
              <w:t>响应文件</w:t>
            </w:r>
            <w:r>
              <w:rPr>
                <w:rFonts w:hint="eastAsia" w:ascii="宋体" w:hAnsi="宋体" w:cs="宋体"/>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06"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cs="宋体"/>
                <w:szCs w:val="21"/>
                <w:highlight w:val="none"/>
              </w:rPr>
            </w:pPr>
            <w:r>
              <w:rPr>
                <w:rFonts w:hint="eastAsia" w:ascii="宋体" w:hAnsi="宋体" w:cs="宋体"/>
                <w:szCs w:val="21"/>
                <w:highlight w:val="none"/>
              </w:rPr>
              <w:t>6</w:t>
            </w:r>
          </w:p>
        </w:tc>
        <w:tc>
          <w:tcPr>
            <w:tcW w:w="52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i/>
                <w:iCs/>
                <w:szCs w:val="21"/>
                <w:highlight w:val="none"/>
              </w:rPr>
            </w:pPr>
          </w:p>
        </w:tc>
        <w:tc>
          <w:tcPr>
            <w:tcW w:w="25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见</w:t>
            </w:r>
            <w:r>
              <w:rPr>
                <w:rFonts w:hint="eastAsia" w:ascii="宋体" w:hAnsi="宋体" w:cs="宋体"/>
                <w:highlight w:val="none"/>
                <w:lang w:eastAsia="zh-CN"/>
              </w:rPr>
              <w:t>响应文件</w:t>
            </w:r>
            <w:r>
              <w:rPr>
                <w:rFonts w:hint="eastAsia" w:ascii="宋体" w:hAnsi="宋体" w:cs="宋体"/>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w:t>
            </w:r>
          </w:p>
        </w:tc>
        <w:tc>
          <w:tcPr>
            <w:tcW w:w="52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p>
        </w:tc>
        <w:tc>
          <w:tcPr>
            <w:tcW w:w="25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szCs w:val="21"/>
                <w:highlight w:val="none"/>
              </w:rPr>
              <w:t>见</w:t>
            </w:r>
            <w:r>
              <w:rPr>
                <w:rFonts w:hint="eastAsia" w:ascii="宋体" w:hAnsi="宋体" w:cs="宋体"/>
                <w:highlight w:val="none"/>
                <w:lang w:eastAsia="zh-CN"/>
              </w:rPr>
              <w:t>响应文件</w:t>
            </w:r>
            <w:r>
              <w:rPr>
                <w:rFonts w:hint="eastAsia" w:ascii="宋体" w:hAnsi="宋体" w:cs="宋体"/>
                <w:szCs w:val="21"/>
                <w:highlight w:val="none"/>
              </w:rPr>
              <w:t>（）页</w:t>
            </w:r>
          </w:p>
        </w:tc>
      </w:tr>
    </w:tbl>
    <w:p>
      <w:pPr>
        <w:ind w:firstLine="210" w:firstLineChars="100"/>
        <w:rPr>
          <w:rFonts w:ascii="宋体" w:hAnsi="宋体" w:cs="宋体"/>
          <w:highlight w:val="none"/>
        </w:rPr>
      </w:pPr>
      <w:r>
        <w:rPr>
          <w:rFonts w:hint="eastAsia" w:ascii="宋体" w:hAnsi="宋体" w:cs="宋体"/>
          <w:highlight w:val="none"/>
        </w:rPr>
        <w:t>注：此表内容必须与响应文件中所介绍的内容一致。</w:t>
      </w:r>
    </w:p>
    <w:p>
      <w:pPr>
        <w:rPr>
          <w:rFonts w:ascii="宋体" w:hAnsi="宋体" w:cs="宋体"/>
          <w:highlight w:val="none"/>
        </w:rPr>
      </w:pPr>
    </w:p>
    <w:p>
      <w:pPr>
        <w:rPr>
          <w:rFonts w:ascii="宋体" w:hAnsi="宋体" w:cs="宋体"/>
          <w:highlight w:val="none"/>
        </w:rPr>
      </w:pPr>
    </w:p>
    <w:p>
      <w:pPr>
        <w:rPr>
          <w:rFonts w:ascii="宋体" w:hAnsi="宋体" w:cs="宋体"/>
          <w:szCs w:val="21"/>
          <w:highlight w:val="none"/>
        </w:rPr>
      </w:pPr>
      <w:r>
        <w:rPr>
          <w:rFonts w:hint="eastAsia" w:ascii="宋体" w:hAnsi="宋体" w:cs="宋体"/>
          <w:szCs w:val="21"/>
          <w:highlight w:val="none"/>
        </w:rPr>
        <w:t>1.4服务评审自查表</w:t>
      </w:r>
    </w:p>
    <w:tbl>
      <w:tblPr>
        <w:tblStyle w:val="46"/>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062"/>
        <w:gridCol w:w="3559"/>
        <w:gridCol w:w="3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highlight w:val="none"/>
              </w:rPr>
            </w:pPr>
            <w:r>
              <w:rPr>
                <w:rFonts w:hint="eastAsia" w:ascii="宋体" w:hAnsi="宋体" w:cs="宋体"/>
                <w:b/>
                <w:szCs w:val="21"/>
                <w:highlight w:val="none"/>
              </w:rPr>
              <w:t>序号</w:t>
            </w: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highlight w:val="none"/>
              </w:rPr>
            </w:pPr>
            <w:r>
              <w:rPr>
                <w:rFonts w:hint="eastAsia" w:ascii="宋体" w:hAnsi="宋体" w:cs="宋体"/>
                <w:b/>
                <w:szCs w:val="21"/>
                <w:highlight w:val="none"/>
              </w:rPr>
              <w:t>评审分项</w:t>
            </w:r>
          </w:p>
        </w:tc>
        <w:tc>
          <w:tcPr>
            <w:tcW w:w="3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highlight w:val="none"/>
              </w:rPr>
            </w:pPr>
            <w:r>
              <w:rPr>
                <w:rFonts w:hint="eastAsia" w:ascii="宋体" w:hAnsi="宋体" w:cs="宋体"/>
                <w:b/>
                <w:szCs w:val="21"/>
                <w:highlight w:val="none"/>
              </w:rPr>
              <w:t>内容</w:t>
            </w:r>
          </w:p>
        </w:tc>
        <w:tc>
          <w:tcPr>
            <w:tcW w:w="32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highlight w:val="none"/>
              </w:rPr>
            </w:pPr>
            <w:r>
              <w:rPr>
                <w:rFonts w:hint="eastAsia" w:ascii="宋体" w:hAnsi="宋体" w:cs="宋体"/>
                <w:b/>
                <w:szCs w:val="21"/>
                <w:highlight w:val="none"/>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1</w:t>
            </w: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p>
        </w:tc>
        <w:tc>
          <w:tcPr>
            <w:tcW w:w="3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p>
        </w:tc>
        <w:tc>
          <w:tcPr>
            <w:tcW w:w="32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见</w:t>
            </w:r>
            <w:r>
              <w:rPr>
                <w:rFonts w:hint="eastAsia" w:ascii="宋体" w:hAnsi="宋体" w:cs="宋体"/>
                <w:highlight w:val="none"/>
                <w:lang w:eastAsia="zh-CN"/>
              </w:rPr>
              <w:t>响应文件</w:t>
            </w:r>
            <w:r>
              <w:rPr>
                <w:rFonts w:hint="eastAsia" w:ascii="宋体" w:hAnsi="宋体" w:cs="宋体"/>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2</w:t>
            </w: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p>
        </w:tc>
        <w:tc>
          <w:tcPr>
            <w:tcW w:w="3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p>
        </w:tc>
        <w:tc>
          <w:tcPr>
            <w:tcW w:w="32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szCs w:val="21"/>
                <w:highlight w:val="none"/>
              </w:rPr>
              <w:t>见</w:t>
            </w:r>
            <w:r>
              <w:rPr>
                <w:rFonts w:hint="eastAsia" w:ascii="宋体" w:hAnsi="宋体" w:cs="宋体"/>
                <w:highlight w:val="none"/>
                <w:lang w:eastAsia="zh-CN"/>
              </w:rPr>
              <w:t>响应文件</w:t>
            </w:r>
            <w:r>
              <w:rPr>
                <w:rFonts w:hint="eastAsia" w:ascii="宋体" w:hAnsi="宋体" w:cs="宋体"/>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3</w:t>
            </w: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p>
        </w:tc>
        <w:tc>
          <w:tcPr>
            <w:tcW w:w="3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p>
        </w:tc>
        <w:tc>
          <w:tcPr>
            <w:tcW w:w="32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szCs w:val="21"/>
                <w:highlight w:val="none"/>
              </w:rPr>
              <w:t>见</w:t>
            </w:r>
            <w:r>
              <w:rPr>
                <w:rFonts w:hint="eastAsia" w:ascii="宋体" w:hAnsi="宋体" w:cs="宋体"/>
                <w:highlight w:val="none"/>
                <w:lang w:eastAsia="zh-CN"/>
              </w:rPr>
              <w:t>响应文件</w:t>
            </w:r>
            <w:r>
              <w:rPr>
                <w:rFonts w:hint="eastAsia" w:ascii="宋体" w:hAnsi="宋体" w:cs="宋体"/>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4</w:t>
            </w: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p>
        </w:tc>
        <w:tc>
          <w:tcPr>
            <w:tcW w:w="3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p>
        </w:tc>
        <w:tc>
          <w:tcPr>
            <w:tcW w:w="32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szCs w:val="21"/>
                <w:highlight w:val="none"/>
              </w:rPr>
              <w:t>见</w:t>
            </w:r>
            <w:r>
              <w:rPr>
                <w:rFonts w:hint="eastAsia" w:ascii="宋体" w:hAnsi="宋体" w:cs="宋体"/>
                <w:highlight w:val="none"/>
                <w:lang w:eastAsia="zh-CN"/>
              </w:rPr>
              <w:t>响应文件</w:t>
            </w:r>
            <w:r>
              <w:rPr>
                <w:rFonts w:hint="eastAsia" w:ascii="宋体" w:hAnsi="宋体" w:cs="宋体"/>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5</w:t>
            </w: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p>
        </w:tc>
        <w:tc>
          <w:tcPr>
            <w:tcW w:w="3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p>
        </w:tc>
        <w:tc>
          <w:tcPr>
            <w:tcW w:w="32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szCs w:val="21"/>
                <w:highlight w:val="none"/>
              </w:rPr>
              <w:t>见</w:t>
            </w:r>
            <w:r>
              <w:rPr>
                <w:rFonts w:hint="eastAsia" w:ascii="宋体" w:hAnsi="宋体" w:cs="宋体"/>
                <w:highlight w:val="none"/>
                <w:lang w:eastAsia="zh-CN"/>
              </w:rPr>
              <w:t>响应文件</w:t>
            </w:r>
            <w:r>
              <w:rPr>
                <w:rFonts w:hint="eastAsia" w:ascii="宋体" w:hAnsi="宋体" w:cs="宋体"/>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6</w:t>
            </w: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p>
        </w:tc>
        <w:tc>
          <w:tcPr>
            <w:tcW w:w="3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p>
        </w:tc>
        <w:tc>
          <w:tcPr>
            <w:tcW w:w="32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见</w:t>
            </w:r>
            <w:r>
              <w:rPr>
                <w:rFonts w:hint="eastAsia" w:ascii="宋体" w:hAnsi="宋体" w:cs="宋体"/>
                <w:highlight w:val="none"/>
                <w:lang w:eastAsia="zh-CN"/>
              </w:rPr>
              <w:t>响应文件</w:t>
            </w:r>
            <w:r>
              <w:rPr>
                <w:rFonts w:hint="eastAsia" w:ascii="宋体" w:hAnsi="宋体" w:cs="宋体"/>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w:t>
            </w: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p>
        </w:tc>
        <w:tc>
          <w:tcPr>
            <w:tcW w:w="3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p>
        </w:tc>
        <w:tc>
          <w:tcPr>
            <w:tcW w:w="32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szCs w:val="21"/>
                <w:highlight w:val="none"/>
              </w:rPr>
              <w:t>见</w:t>
            </w:r>
            <w:r>
              <w:rPr>
                <w:rFonts w:hint="eastAsia" w:ascii="宋体" w:hAnsi="宋体" w:cs="宋体"/>
                <w:highlight w:val="none"/>
                <w:lang w:eastAsia="zh-CN"/>
              </w:rPr>
              <w:t>响应文件</w:t>
            </w:r>
            <w:r>
              <w:rPr>
                <w:rFonts w:hint="eastAsia" w:ascii="宋体" w:hAnsi="宋体" w:cs="宋体"/>
                <w:szCs w:val="21"/>
                <w:highlight w:val="none"/>
              </w:rPr>
              <w:t>（）页</w:t>
            </w:r>
          </w:p>
        </w:tc>
      </w:tr>
    </w:tbl>
    <w:p>
      <w:pPr>
        <w:pStyle w:val="16"/>
        <w:spacing w:after="0" w:line="360" w:lineRule="auto"/>
        <w:ind w:left="424" w:hanging="424" w:hangingChars="202"/>
        <w:rPr>
          <w:rFonts w:ascii="宋体" w:hAnsi="宋体" w:cs="宋体"/>
          <w:sz w:val="21"/>
          <w:szCs w:val="21"/>
          <w:highlight w:val="none"/>
          <w:lang w:val="en-GB"/>
        </w:rPr>
      </w:pPr>
      <w:r>
        <w:rPr>
          <w:rFonts w:hint="eastAsia" w:ascii="宋体" w:hAnsi="宋体" w:cs="宋体"/>
          <w:sz w:val="21"/>
          <w:szCs w:val="21"/>
          <w:highlight w:val="none"/>
          <w:lang w:val="en-GB"/>
        </w:rPr>
        <w:t>注：</w:t>
      </w:r>
      <w:r>
        <w:rPr>
          <w:rFonts w:hint="eastAsia" w:ascii="宋体" w:hAnsi="宋体" w:cs="宋体"/>
          <w:sz w:val="21"/>
          <w:szCs w:val="21"/>
          <w:highlight w:val="none"/>
        </w:rPr>
        <w:t>供应商应根据《服务评分表》的各项内容填写此表</w:t>
      </w:r>
      <w:r>
        <w:rPr>
          <w:rFonts w:hint="eastAsia" w:ascii="宋体" w:hAnsi="宋体" w:cs="宋体"/>
          <w:sz w:val="21"/>
          <w:szCs w:val="21"/>
          <w:highlight w:val="none"/>
          <w:lang w:val="en-GB"/>
        </w:rPr>
        <w:t>。</w:t>
      </w:r>
    </w:p>
    <w:p>
      <w:pPr>
        <w:pStyle w:val="16"/>
        <w:spacing w:after="0" w:line="360" w:lineRule="auto"/>
        <w:rPr>
          <w:rFonts w:ascii="宋体" w:hAnsi="宋体" w:cs="宋体"/>
          <w:sz w:val="21"/>
          <w:szCs w:val="21"/>
          <w:highlight w:val="none"/>
        </w:rPr>
      </w:pPr>
    </w:p>
    <w:p>
      <w:pPr>
        <w:pStyle w:val="6"/>
        <w:tabs>
          <w:tab w:val="left" w:pos="851"/>
        </w:tabs>
        <w:rPr>
          <w:rFonts w:hAnsi="宋体" w:cs="宋体"/>
          <w:color w:val="auto"/>
          <w:szCs w:val="21"/>
          <w:highlight w:val="none"/>
        </w:rPr>
      </w:pPr>
      <w:r>
        <w:rPr>
          <w:rFonts w:hint="eastAsia" w:hAnsi="宋体" w:cs="宋体"/>
          <w:color w:val="auto"/>
          <w:szCs w:val="21"/>
          <w:highlight w:val="none"/>
        </w:rPr>
        <w:t>1.5商务评审自查表</w:t>
      </w:r>
    </w:p>
    <w:tbl>
      <w:tblPr>
        <w:tblStyle w:val="46"/>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062"/>
        <w:gridCol w:w="3559"/>
        <w:gridCol w:w="3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highlight w:val="none"/>
              </w:rPr>
            </w:pPr>
            <w:r>
              <w:rPr>
                <w:rFonts w:hint="eastAsia" w:ascii="宋体" w:hAnsi="宋体" w:cs="宋体"/>
                <w:b/>
                <w:szCs w:val="21"/>
                <w:highlight w:val="none"/>
              </w:rPr>
              <w:t>序号</w:t>
            </w: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highlight w:val="none"/>
              </w:rPr>
            </w:pPr>
            <w:r>
              <w:rPr>
                <w:rFonts w:hint="eastAsia" w:ascii="宋体" w:hAnsi="宋体" w:cs="宋体"/>
                <w:b/>
                <w:szCs w:val="21"/>
                <w:highlight w:val="none"/>
              </w:rPr>
              <w:t>评审分项</w:t>
            </w:r>
          </w:p>
        </w:tc>
        <w:tc>
          <w:tcPr>
            <w:tcW w:w="3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highlight w:val="none"/>
              </w:rPr>
            </w:pPr>
            <w:r>
              <w:rPr>
                <w:rFonts w:hint="eastAsia" w:ascii="宋体" w:hAnsi="宋体" w:cs="宋体"/>
                <w:b/>
                <w:szCs w:val="21"/>
                <w:highlight w:val="none"/>
              </w:rPr>
              <w:t>内容</w:t>
            </w:r>
          </w:p>
        </w:tc>
        <w:tc>
          <w:tcPr>
            <w:tcW w:w="32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highlight w:val="none"/>
              </w:rPr>
            </w:pPr>
            <w:r>
              <w:rPr>
                <w:rFonts w:hint="eastAsia" w:ascii="宋体" w:hAnsi="宋体" w:cs="宋体"/>
                <w:b/>
                <w:szCs w:val="21"/>
                <w:highlight w:val="none"/>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1</w:t>
            </w: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p>
        </w:tc>
        <w:tc>
          <w:tcPr>
            <w:tcW w:w="3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p>
        </w:tc>
        <w:tc>
          <w:tcPr>
            <w:tcW w:w="32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见</w:t>
            </w:r>
            <w:r>
              <w:rPr>
                <w:rFonts w:hint="eastAsia" w:ascii="宋体" w:hAnsi="宋体" w:cs="宋体"/>
                <w:highlight w:val="none"/>
                <w:lang w:eastAsia="zh-CN"/>
              </w:rPr>
              <w:t>响应文件</w:t>
            </w:r>
            <w:r>
              <w:rPr>
                <w:rFonts w:hint="eastAsia" w:ascii="宋体" w:hAnsi="宋体" w:cs="宋体"/>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2</w:t>
            </w: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p>
        </w:tc>
        <w:tc>
          <w:tcPr>
            <w:tcW w:w="3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p>
        </w:tc>
        <w:tc>
          <w:tcPr>
            <w:tcW w:w="32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szCs w:val="21"/>
                <w:highlight w:val="none"/>
              </w:rPr>
              <w:t>见</w:t>
            </w:r>
            <w:r>
              <w:rPr>
                <w:rFonts w:hint="eastAsia" w:ascii="宋体" w:hAnsi="宋体" w:cs="宋体"/>
                <w:highlight w:val="none"/>
                <w:lang w:eastAsia="zh-CN"/>
              </w:rPr>
              <w:t>响应文件</w:t>
            </w:r>
            <w:r>
              <w:rPr>
                <w:rFonts w:hint="eastAsia" w:ascii="宋体" w:hAnsi="宋体" w:cs="宋体"/>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3</w:t>
            </w: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p>
        </w:tc>
        <w:tc>
          <w:tcPr>
            <w:tcW w:w="3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p>
        </w:tc>
        <w:tc>
          <w:tcPr>
            <w:tcW w:w="32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szCs w:val="21"/>
                <w:highlight w:val="none"/>
              </w:rPr>
              <w:t>见</w:t>
            </w:r>
            <w:r>
              <w:rPr>
                <w:rFonts w:hint="eastAsia" w:ascii="宋体" w:hAnsi="宋体" w:cs="宋体"/>
                <w:highlight w:val="none"/>
                <w:lang w:eastAsia="zh-CN"/>
              </w:rPr>
              <w:t>响应文件</w:t>
            </w:r>
            <w:r>
              <w:rPr>
                <w:rFonts w:hint="eastAsia" w:ascii="宋体" w:hAnsi="宋体" w:cs="宋体"/>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4</w:t>
            </w: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p>
        </w:tc>
        <w:tc>
          <w:tcPr>
            <w:tcW w:w="3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p>
        </w:tc>
        <w:tc>
          <w:tcPr>
            <w:tcW w:w="32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szCs w:val="21"/>
                <w:highlight w:val="none"/>
              </w:rPr>
              <w:t>见</w:t>
            </w:r>
            <w:r>
              <w:rPr>
                <w:rFonts w:hint="eastAsia" w:ascii="宋体" w:hAnsi="宋体" w:cs="宋体"/>
                <w:highlight w:val="none"/>
                <w:lang w:eastAsia="zh-CN"/>
              </w:rPr>
              <w:t>响应文件</w:t>
            </w:r>
            <w:r>
              <w:rPr>
                <w:rFonts w:hint="eastAsia" w:ascii="宋体" w:hAnsi="宋体" w:cs="宋体"/>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5</w:t>
            </w: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p>
        </w:tc>
        <w:tc>
          <w:tcPr>
            <w:tcW w:w="3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p>
        </w:tc>
        <w:tc>
          <w:tcPr>
            <w:tcW w:w="32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szCs w:val="21"/>
                <w:highlight w:val="none"/>
              </w:rPr>
              <w:t>见</w:t>
            </w:r>
            <w:r>
              <w:rPr>
                <w:rFonts w:hint="eastAsia" w:ascii="宋体" w:hAnsi="宋体" w:cs="宋体"/>
                <w:highlight w:val="none"/>
                <w:lang w:eastAsia="zh-CN"/>
              </w:rPr>
              <w:t>响应文件</w:t>
            </w:r>
            <w:r>
              <w:rPr>
                <w:rFonts w:hint="eastAsia" w:ascii="宋体" w:hAnsi="宋体" w:cs="宋体"/>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6</w:t>
            </w: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p>
        </w:tc>
        <w:tc>
          <w:tcPr>
            <w:tcW w:w="3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p>
        </w:tc>
        <w:tc>
          <w:tcPr>
            <w:tcW w:w="32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szCs w:val="21"/>
                <w:highlight w:val="none"/>
              </w:rPr>
              <w:t>见</w:t>
            </w:r>
            <w:r>
              <w:rPr>
                <w:rFonts w:hint="eastAsia" w:ascii="宋体" w:hAnsi="宋体" w:cs="宋体"/>
                <w:highlight w:val="none"/>
                <w:lang w:eastAsia="zh-CN"/>
              </w:rPr>
              <w:t>响应文件</w:t>
            </w:r>
            <w:r>
              <w:rPr>
                <w:rFonts w:hint="eastAsia" w:ascii="宋体" w:hAnsi="宋体" w:cs="宋体"/>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w:t>
            </w: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p>
        </w:tc>
        <w:tc>
          <w:tcPr>
            <w:tcW w:w="3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p>
        </w:tc>
        <w:tc>
          <w:tcPr>
            <w:tcW w:w="32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szCs w:val="21"/>
                <w:highlight w:val="none"/>
              </w:rPr>
              <w:t>见</w:t>
            </w:r>
            <w:r>
              <w:rPr>
                <w:rFonts w:hint="eastAsia" w:ascii="宋体" w:hAnsi="宋体" w:cs="宋体"/>
                <w:highlight w:val="none"/>
                <w:lang w:eastAsia="zh-CN"/>
              </w:rPr>
              <w:t>响应文件</w:t>
            </w:r>
            <w:r>
              <w:rPr>
                <w:rFonts w:hint="eastAsia" w:ascii="宋体" w:hAnsi="宋体" w:cs="宋体"/>
                <w:szCs w:val="21"/>
                <w:highlight w:val="none"/>
              </w:rPr>
              <w:t>（）页</w:t>
            </w:r>
          </w:p>
        </w:tc>
      </w:tr>
    </w:tbl>
    <w:p>
      <w:pPr>
        <w:pStyle w:val="16"/>
        <w:spacing w:after="0" w:line="360" w:lineRule="auto"/>
        <w:rPr>
          <w:rFonts w:ascii="宋体" w:hAnsi="宋体" w:cs="宋体"/>
          <w:sz w:val="21"/>
          <w:szCs w:val="21"/>
          <w:highlight w:val="none"/>
          <w:lang w:val="en-GB"/>
        </w:rPr>
      </w:pPr>
      <w:r>
        <w:rPr>
          <w:rFonts w:hint="eastAsia" w:ascii="宋体" w:hAnsi="宋体" w:cs="宋体"/>
          <w:sz w:val="21"/>
          <w:szCs w:val="21"/>
          <w:highlight w:val="none"/>
          <w:lang w:val="en-GB"/>
        </w:rPr>
        <w:t>注：供应商应根据《商务评分表》的各项内容填写此表。</w:t>
      </w:r>
    </w:p>
    <w:p>
      <w:pPr>
        <w:pStyle w:val="3"/>
        <w:keepLines w:val="0"/>
        <w:widowControl w:val="0"/>
        <w:tabs>
          <w:tab w:val="left" w:pos="851"/>
        </w:tabs>
        <w:adjustRightInd/>
        <w:snapToGrid/>
        <w:jc w:val="both"/>
        <w:rPr>
          <w:rFonts w:hAnsi="宋体" w:cs="宋体"/>
          <w:b/>
          <w:highlight w:val="none"/>
        </w:rPr>
      </w:pPr>
      <w:r>
        <w:rPr>
          <w:rFonts w:hint="eastAsia" w:hAnsi="宋体" w:cs="宋体"/>
          <w:b/>
          <w:szCs w:val="21"/>
          <w:highlight w:val="none"/>
          <w:lang w:val="en-GB"/>
        </w:rPr>
        <w:br w:type="page"/>
      </w:r>
      <w:bookmarkStart w:id="2254" w:name="_Toc25912"/>
      <w:bookmarkStart w:id="2255" w:name="_Toc6242"/>
      <w:bookmarkStart w:id="2256" w:name="_Toc30775"/>
      <w:bookmarkStart w:id="2257" w:name="_Toc535849051"/>
      <w:bookmarkStart w:id="2258" w:name="_Toc519164275"/>
      <w:bookmarkStart w:id="2259" w:name="_Toc10062"/>
      <w:bookmarkStart w:id="2260" w:name="_Toc31283"/>
      <w:bookmarkStart w:id="2261" w:name="_Toc502737192"/>
      <w:bookmarkStart w:id="2262" w:name="_Toc455134766"/>
      <w:bookmarkStart w:id="2263" w:name="_Toc32749"/>
      <w:r>
        <w:rPr>
          <w:rFonts w:hint="eastAsia" w:hAnsi="宋体" w:cs="宋体"/>
          <w:b/>
          <w:sz w:val="21"/>
          <w:szCs w:val="21"/>
          <w:highlight w:val="none"/>
        </w:rPr>
        <w:t>2.</w:t>
      </w:r>
      <w:r>
        <w:rPr>
          <w:rFonts w:hint="eastAsia" w:hAnsi="宋体" w:cs="宋体"/>
          <w:b/>
          <w:sz w:val="21"/>
          <w:szCs w:val="21"/>
          <w:highlight w:val="none"/>
          <w:lang w:val="en-US" w:eastAsia="zh-CN"/>
        </w:rPr>
        <w:t>投标</w:t>
      </w:r>
      <w:r>
        <w:rPr>
          <w:rFonts w:hint="eastAsia" w:hAnsi="宋体" w:cs="宋体"/>
          <w:b/>
          <w:sz w:val="21"/>
          <w:szCs w:val="21"/>
          <w:highlight w:val="none"/>
        </w:rPr>
        <w:t>函</w:t>
      </w:r>
      <w:bookmarkEnd w:id="2254"/>
      <w:bookmarkEnd w:id="2255"/>
      <w:bookmarkEnd w:id="2256"/>
      <w:bookmarkEnd w:id="2257"/>
      <w:bookmarkEnd w:id="2258"/>
      <w:bookmarkEnd w:id="2259"/>
      <w:bookmarkEnd w:id="2260"/>
      <w:bookmarkEnd w:id="2261"/>
      <w:bookmarkEnd w:id="2262"/>
      <w:bookmarkEnd w:id="2263"/>
    </w:p>
    <w:p>
      <w:pPr>
        <w:pStyle w:val="23"/>
        <w:jc w:val="center"/>
        <w:rPr>
          <w:rFonts w:hAnsi="宋体" w:cs="宋体"/>
          <w:b/>
          <w:highlight w:val="none"/>
        </w:rPr>
      </w:pPr>
      <w:r>
        <w:rPr>
          <w:rFonts w:hint="eastAsia" w:hAnsi="宋体" w:cs="宋体"/>
          <w:b/>
          <w:highlight w:val="none"/>
          <w:lang w:val="en-US" w:eastAsia="zh-CN"/>
        </w:rPr>
        <w:t>投标</w:t>
      </w:r>
      <w:r>
        <w:rPr>
          <w:rFonts w:hint="eastAsia" w:hAnsi="宋体" w:cs="宋体"/>
          <w:b/>
          <w:highlight w:val="none"/>
        </w:rPr>
        <w:t>函</w:t>
      </w:r>
    </w:p>
    <w:p>
      <w:pPr>
        <w:spacing w:line="360" w:lineRule="auto"/>
        <w:rPr>
          <w:rFonts w:ascii="宋体" w:hAnsi="宋体" w:cs="宋体"/>
          <w:szCs w:val="21"/>
          <w:highlight w:val="none"/>
        </w:rPr>
      </w:pPr>
      <w:r>
        <w:rPr>
          <w:rFonts w:hint="eastAsia" w:ascii="宋体" w:hAnsi="宋体" w:cs="宋体"/>
          <w:szCs w:val="21"/>
          <w:highlight w:val="none"/>
        </w:rPr>
        <w:t>致：广东省机电设备招标有限公司</w:t>
      </w:r>
    </w:p>
    <w:p>
      <w:pPr>
        <w:spacing w:line="380" w:lineRule="exact"/>
        <w:ind w:firstLine="420"/>
        <w:rPr>
          <w:rFonts w:ascii="宋体" w:hAnsi="宋体" w:cs="宋体"/>
          <w:szCs w:val="21"/>
          <w:highlight w:val="none"/>
        </w:rPr>
      </w:pPr>
      <w:r>
        <w:rPr>
          <w:rFonts w:hint="eastAsia" w:ascii="宋体" w:hAnsi="宋体" w:cs="宋体"/>
          <w:szCs w:val="21"/>
          <w:highlight w:val="none"/>
        </w:rPr>
        <w:t>我方审阅了贵方的竞争性磋商文件的全部内容，现提交我方的响应文件。</w:t>
      </w:r>
    </w:p>
    <w:p>
      <w:pPr>
        <w:spacing w:line="380" w:lineRule="exact"/>
        <w:ind w:firstLine="420"/>
        <w:rPr>
          <w:rFonts w:ascii="宋体" w:hAnsi="宋体" w:cs="宋体"/>
          <w:szCs w:val="21"/>
          <w:highlight w:val="none"/>
        </w:rPr>
      </w:pPr>
      <w:r>
        <w:rPr>
          <w:rFonts w:hint="eastAsia" w:ascii="宋体" w:hAnsi="宋体" w:cs="宋体"/>
          <w:szCs w:val="21"/>
          <w:highlight w:val="none"/>
        </w:rPr>
        <w:t>我方</w:t>
      </w:r>
      <w:r>
        <w:rPr>
          <w:rFonts w:hint="eastAsia" w:ascii="宋体" w:hAnsi="宋体" w:cs="宋体"/>
          <w:szCs w:val="21"/>
          <w:highlight w:val="none"/>
          <w:u w:val="single"/>
        </w:rPr>
        <w:t xml:space="preserve">           </w:t>
      </w:r>
      <w:r>
        <w:rPr>
          <w:rFonts w:hint="eastAsia" w:ascii="宋体" w:hAnsi="宋体" w:cs="宋体"/>
          <w:szCs w:val="21"/>
          <w:highlight w:val="none"/>
        </w:rPr>
        <w:t>（供应商全称）授权</w:t>
      </w:r>
      <w:r>
        <w:rPr>
          <w:rFonts w:hint="eastAsia" w:ascii="宋体" w:hAnsi="宋体" w:cs="宋体"/>
          <w:szCs w:val="21"/>
          <w:highlight w:val="none"/>
          <w:u w:val="single"/>
        </w:rPr>
        <w:t xml:space="preserve">         </w:t>
      </w:r>
      <w:r>
        <w:rPr>
          <w:rFonts w:hint="eastAsia" w:ascii="宋体" w:hAnsi="宋体" w:cs="宋体"/>
          <w:szCs w:val="21"/>
          <w:highlight w:val="none"/>
        </w:rPr>
        <w:t>（授权代表姓名）</w:t>
      </w:r>
      <w:r>
        <w:rPr>
          <w:rFonts w:hint="eastAsia" w:ascii="宋体" w:hAnsi="宋体" w:cs="宋体"/>
          <w:szCs w:val="21"/>
          <w:highlight w:val="none"/>
          <w:u w:val="single"/>
        </w:rPr>
        <w:t xml:space="preserve">         </w:t>
      </w:r>
      <w:r>
        <w:rPr>
          <w:rFonts w:hint="eastAsia" w:ascii="宋体" w:hAnsi="宋体" w:cs="宋体"/>
          <w:szCs w:val="21"/>
          <w:highlight w:val="none"/>
        </w:rPr>
        <w:t>（职务、职称）为授权代表，参加贵方组织的</w:t>
      </w:r>
      <w:r>
        <w:rPr>
          <w:rFonts w:hint="eastAsia" w:ascii="宋体" w:hAnsi="宋体" w:cs="宋体"/>
          <w:szCs w:val="21"/>
          <w:highlight w:val="none"/>
          <w:u w:val="single"/>
        </w:rPr>
        <w:t xml:space="preserve">             </w:t>
      </w:r>
      <w:r>
        <w:rPr>
          <w:rFonts w:hint="eastAsia" w:ascii="宋体" w:hAnsi="宋体" w:cs="宋体"/>
          <w:szCs w:val="21"/>
          <w:highlight w:val="none"/>
        </w:rPr>
        <w:t>项目磋商的有关活动。</w:t>
      </w:r>
    </w:p>
    <w:p>
      <w:pPr>
        <w:spacing w:line="380" w:lineRule="exact"/>
        <w:rPr>
          <w:rFonts w:ascii="宋体" w:hAnsi="宋体" w:cs="宋体"/>
          <w:szCs w:val="21"/>
          <w:highlight w:val="none"/>
        </w:rPr>
      </w:pPr>
      <w:r>
        <w:rPr>
          <w:rFonts w:hint="eastAsia" w:ascii="宋体" w:hAnsi="宋体" w:cs="宋体"/>
          <w:szCs w:val="21"/>
          <w:highlight w:val="none"/>
        </w:rPr>
        <w:t>签字代表在此声明并同意</w:t>
      </w:r>
    </w:p>
    <w:p>
      <w:pPr>
        <w:numPr>
          <w:ilvl w:val="0"/>
          <w:numId w:val="17"/>
        </w:numPr>
        <w:spacing w:line="380" w:lineRule="exact"/>
        <w:ind w:firstLine="420" w:firstLineChars="200"/>
        <w:rPr>
          <w:rFonts w:ascii="宋体" w:hAnsi="宋体" w:cs="宋体"/>
          <w:szCs w:val="21"/>
          <w:highlight w:val="none"/>
        </w:rPr>
      </w:pPr>
      <w:r>
        <w:rPr>
          <w:rFonts w:hint="eastAsia" w:ascii="宋体" w:hAnsi="宋体" w:cs="宋体"/>
          <w:szCs w:val="21"/>
          <w:highlight w:val="none"/>
        </w:rPr>
        <w:t>我方愿意遵守招标公司竞争性磋商文件中的各项规定，提供符合“</w:t>
      </w:r>
      <w:r>
        <w:rPr>
          <w:rFonts w:hint="eastAsia" w:ascii="宋体" w:hAnsi="宋体" w:cs="宋体"/>
          <w:szCs w:val="21"/>
          <w:highlight w:val="none"/>
          <w:lang w:val="en-US" w:eastAsia="zh-CN"/>
        </w:rPr>
        <w:t>用户需求书</w:t>
      </w:r>
      <w:r>
        <w:rPr>
          <w:rFonts w:hint="eastAsia" w:ascii="宋体" w:hAnsi="宋体" w:cs="宋体"/>
          <w:szCs w:val="21"/>
          <w:highlight w:val="none"/>
        </w:rPr>
        <w:t>”所要求的内容</w:t>
      </w:r>
      <w:r>
        <w:rPr>
          <w:rFonts w:hint="eastAsia" w:ascii="宋体" w:hAnsi="宋体" w:cs="宋体"/>
          <w:szCs w:val="21"/>
          <w:highlight w:val="none"/>
          <w:lang w:eastAsia="zh-CN"/>
        </w:rPr>
        <w:t>。</w:t>
      </w:r>
    </w:p>
    <w:p>
      <w:pPr>
        <w:numPr>
          <w:ilvl w:val="255"/>
          <w:numId w:val="0"/>
        </w:numPr>
        <w:spacing w:line="380" w:lineRule="exact"/>
        <w:ind w:firstLine="420" w:firstLineChars="200"/>
        <w:rPr>
          <w:rFonts w:ascii="宋体" w:hAnsi="宋体" w:cs="宋体"/>
          <w:szCs w:val="21"/>
          <w:highlight w:val="none"/>
        </w:rPr>
      </w:pPr>
      <w:r>
        <w:rPr>
          <w:rFonts w:hint="eastAsia" w:ascii="宋体" w:hAnsi="宋体" w:cs="宋体"/>
          <w:szCs w:val="21"/>
          <w:highlight w:val="none"/>
        </w:rPr>
        <w:t>2）我方同意本</w:t>
      </w:r>
      <w:r>
        <w:rPr>
          <w:rFonts w:hint="eastAsia" w:ascii="宋体" w:hAnsi="宋体" w:cs="宋体"/>
          <w:szCs w:val="21"/>
          <w:highlight w:val="none"/>
          <w:lang w:val="en-US" w:eastAsia="zh-CN"/>
        </w:rPr>
        <w:t>投标</w:t>
      </w:r>
      <w:r>
        <w:rPr>
          <w:rFonts w:hint="eastAsia" w:ascii="宋体" w:hAnsi="宋体"/>
          <w:szCs w:val="21"/>
          <w:highlight w:val="none"/>
        </w:rPr>
        <w:t>从递交响应文件的截止之日起算</w:t>
      </w:r>
      <w:r>
        <w:rPr>
          <w:rFonts w:hint="eastAsia" w:ascii="宋体" w:hAnsi="宋体" w:cs="宋体"/>
          <w:szCs w:val="21"/>
          <w:highlight w:val="none"/>
        </w:rPr>
        <w:t>90天内有效。如果我方的</w:t>
      </w:r>
      <w:r>
        <w:rPr>
          <w:rFonts w:hint="eastAsia" w:ascii="宋体" w:hAnsi="宋体" w:cs="宋体"/>
          <w:szCs w:val="21"/>
          <w:highlight w:val="none"/>
          <w:lang w:val="en-US" w:eastAsia="zh-CN"/>
        </w:rPr>
        <w:t>投标</w:t>
      </w:r>
      <w:r>
        <w:rPr>
          <w:rFonts w:hint="eastAsia" w:ascii="宋体" w:hAnsi="宋体" w:cs="宋体"/>
          <w:szCs w:val="21"/>
          <w:highlight w:val="none"/>
        </w:rPr>
        <w:t>被接受，则直至合同终止时止，本</w:t>
      </w:r>
      <w:r>
        <w:rPr>
          <w:rFonts w:hint="eastAsia" w:ascii="宋体" w:hAnsi="宋体" w:cs="宋体"/>
          <w:szCs w:val="21"/>
          <w:highlight w:val="none"/>
          <w:lang w:val="en-US" w:eastAsia="zh-CN"/>
        </w:rPr>
        <w:t>投标</w:t>
      </w:r>
      <w:r>
        <w:rPr>
          <w:rFonts w:hint="eastAsia" w:ascii="宋体" w:hAnsi="宋体" w:cs="宋体"/>
          <w:szCs w:val="21"/>
          <w:highlight w:val="none"/>
        </w:rPr>
        <w:t>始终有效。</w:t>
      </w:r>
    </w:p>
    <w:p>
      <w:pPr>
        <w:spacing w:line="380" w:lineRule="exact"/>
        <w:ind w:firstLine="420" w:firstLineChars="200"/>
        <w:rPr>
          <w:rFonts w:hint="eastAsia" w:ascii="宋体" w:hAnsi="宋体" w:cs="宋体"/>
          <w:szCs w:val="21"/>
          <w:highlight w:val="none"/>
        </w:rPr>
      </w:pPr>
      <w:r>
        <w:rPr>
          <w:rFonts w:hint="eastAsia" w:ascii="宋体" w:hAnsi="宋体" w:cs="宋体"/>
          <w:lang w:val="en-US" w:eastAsia="zh-CN"/>
        </w:rPr>
        <w:t>3）</w:t>
      </w:r>
      <w:r>
        <w:rPr>
          <w:rFonts w:hint="eastAsia" w:ascii="宋体" w:hAnsi="宋体" w:cs="宋体"/>
        </w:rPr>
        <w:t>我方明白并同意，在规定的开标日之后，投标有效期之内撤回投标或中标后不按规定与采购人签订合同或不提交履约保证金</w:t>
      </w:r>
      <w:r>
        <w:rPr>
          <w:rFonts w:hint="eastAsia" w:ascii="宋体" w:hAnsi="宋体" w:cs="宋体"/>
          <w:lang w:eastAsia="zh-CN"/>
        </w:rPr>
        <w:t>，</w:t>
      </w:r>
      <w:r>
        <w:rPr>
          <w:rFonts w:hint="eastAsia" w:ascii="宋体" w:hAnsi="宋体" w:cs="宋体"/>
        </w:rPr>
        <w:t>则贵方将不予退还投标保证金。</w:t>
      </w:r>
    </w:p>
    <w:p>
      <w:pPr>
        <w:spacing w:line="380" w:lineRule="exact"/>
        <w:ind w:firstLine="420" w:firstLineChars="200"/>
        <w:rPr>
          <w:rFonts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）我方在参与</w:t>
      </w:r>
      <w:r>
        <w:rPr>
          <w:rFonts w:hint="eastAsia" w:ascii="宋体" w:hAnsi="宋体" w:cs="宋体"/>
          <w:szCs w:val="21"/>
          <w:highlight w:val="none"/>
          <w:lang w:val="en-US" w:eastAsia="zh-CN"/>
        </w:rPr>
        <w:t>投标</w:t>
      </w:r>
      <w:r>
        <w:rPr>
          <w:rFonts w:hint="eastAsia" w:ascii="宋体" w:hAnsi="宋体" w:cs="宋体"/>
          <w:szCs w:val="21"/>
          <w:highlight w:val="none"/>
        </w:rPr>
        <w:t>前已仔细研究了竞争性磋商文件和所有相关资料，包括澄清、修改文件（如果有）和所有已提供的参考资料以及有关附件，我方完全明白并认为此竞争性磋商文件没有倾向性，也不存在排斥潜在供应商的内容，我方同意竞争性磋商文件的相关条款，放弃对竞争性磋商文件提出误解和质疑的一切权力。</w:t>
      </w:r>
    </w:p>
    <w:p>
      <w:pPr>
        <w:spacing w:line="380" w:lineRule="exact"/>
        <w:ind w:firstLine="420" w:firstLineChars="200"/>
        <w:rPr>
          <w:rFonts w:ascii="宋体" w:hAnsi="宋体" w:cs="宋体"/>
          <w:highlight w:val="none"/>
        </w:rPr>
      </w:pPr>
      <w:r>
        <w:rPr>
          <w:rFonts w:hint="eastAsia" w:ascii="宋体" w:hAnsi="宋体" w:cs="宋体"/>
          <w:szCs w:val="21"/>
          <w:highlight w:val="none"/>
          <w:lang w:val="en-US" w:eastAsia="zh-CN"/>
        </w:rPr>
        <w:t>5</w:t>
      </w:r>
      <w:r>
        <w:rPr>
          <w:rFonts w:hint="eastAsia" w:ascii="宋体" w:hAnsi="宋体" w:cs="宋体"/>
          <w:szCs w:val="21"/>
          <w:highlight w:val="none"/>
        </w:rPr>
        <w:t>）</w:t>
      </w:r>
      <w:r>
        <w:rPr>
          <w:rFonts w:hint="eastAsia" w:ascii="宋体" w:hAnsi="宋体" w:cs="宋体"/>
          <w:highlight w:val="none"/>
        </w:rPr>
        <w:t>我方作为在法律、财务和运作上独立于</w:t>
      </w:r>
      <w:r>
        <w:rPr>
          <w:rFonts w:hint="eastAsia" w:ascii="宋体" w:hAnsi="宋体" w:cs="宋体"/>
          <w:szCs w:val="21"/>
          <w:highlight w:val="none"/>
        </w:rPr>
        <w:t>采购人</w:t>
      </w:r>
      <w:r>
        <w:rPr>
          <w:rFonts w:hint="eastAsia" w:ascii="宋体" w:hAnsi="宋体" w:cs="宋体"/>
          <w:highlight w:val="none"/>
        </w:rPr>
        <w:t>、</w:t>
      </w:r>
      <w:r>
        <w:rPr>
          <w:rFonts w:hint="eastAsia" w:ascii="宋体" w:hAnsi="宋体" w:cs="宋体"/>
          <w:szCs w:val="21"/>
          <w:highlight w:val="none"/>
        </w:rPr>
        <w:t>采购代理机构</w:t>
      </w:r>
      <w:r>
        <w:rPr>
          <w:rFonts w:hint="eastAsia" w:ascii="宋体" w:hAnsi="宋体" w:cs="宋体"/>
          <w:highlight w:val="none"/>
        </w:rPr>
        <w:t>的供应商，在此保证所提交的所有文件和全部说明是真实的和正确的。</w:t>
      </w:r>
    </w:p>
    <w:p>
      <w:pPr>
        <w:spacing w:line="380" w:lineRule="exact"/>
        <w:ind w:firstLine="420" w:firstLineChars="200"/>
        <w:rPr>
          <w:rFonts w:ascii="宋体" w:hAnsi="宋体" w:cs="宋体"/>
          <w:szCs w:val="21"/>
          <w:highlight w:val="none"/>
        </w:rPr>
      </w:pPr>
      <w:r>
        <w:rPr>
          <w:rFonts w:hint="eastAsia" w:ascii="宋体" w:hAnsi="宋体" w:cs="宋体"/>
          <w:highlight w:val="none"/>
          <w:lang w:val="en-US" w:eastAsia="zh-CN"/>
        </w:rPr>
        <w:t>6</w:t>
      </w:r>
      <w:r>
        <w:rPr>
          <w:rFonts w:hint="eastAsia" w:ascii="宋体" w:hAnsi="宋体" w:cs="宋体"/>
          <w:highlight w:val="none"/>
        </w:rPr>
        <w:t>）我方同意按照贵方可能提出的要求而提供与</w:t>
      </w:r>
      <w:r>
        <w:rPr>
          <w:rFonts w:hint="eastAsia" w:ascii="宋体" w:hAnsi="宋体" w:cs="宋体"/>
          <w:szCs w:val="21"/>
          <w:highlight w:val="none"/>
          <w:lang w:val="en-US" w:eastAsia="zh-CN"/>
        </w:rPr>
        <w:t>投标</w:t>
      </w:r>
      <w:r>
        <w:rPr>
          <w:rFonts w:hint="eastAsia" w:ascii="宋体" w:hAnsi="宋体" w:cs="宋体"/>
          <w:highlight w:val="none"/>
        </w:rPr>
        <w:t>有关的任何其它数据、信息或资料。</w:t>
      </w:r>
    </w:p>
    <w:p>
      <w:pPr>
        <w:spacing w:line="380" w:lineRule="exact"/>
        <w:ind w:firstLine="420" w:firstLineChars="200"/>
        <w:rPr>
          <w:rFonts w:ascii="宋体" w:hAnsi="宋体" w:cs="宋体"/>
          <w:szCs w:val="21"/>
          <w:highlight w:val="none"/>
        </w:rPr>
      </w:pPr>
      <w:r>
        <w:rPr>
          <w:rFonts w:hint="eastAsia" w:ascii="宋体" w:hAnsi="宋体" w:cs="宋体"/>
          <w:szCs w:val="21"/>
          <w:highlight w:val="none"/>
          <w:lang w:val="en-US" w:eastAsia="zh-CN"/>
        </w:rPr>
        <w:t>7</w:t>
      </w:r>
      <w:r>
        <w:rPr>
          <w:rFonts w:hint="eastAsia" w:ascii="宋体" w:hAnsi="宋体" w:cs="宋体"/>
          <w:szCs w:val="21"/>
          <w:highlight w:val="none"/>
        </w:rPr>
        <w:t>）我方如果成为成交供应商，保证履行响应文件</w:t>
      </w:r>
      <w:r>
        <w:rPr>
          <w:rFonts w:hint="eastAsia" w:ascii="宋体" w:hAnsi="宋体" w:cs="宋体"/>
          <w:highlight w:val="none"/>
        </w:rPr>
        <w:t>及其澄清、修改文件（如果有）中的全部责任和义务和响应文件中承诺的全部责任和义务</w:t>
      </w:r>
      <w:r>
        <w:rPr>
          <w:rFonts w:hint="eastAsia" w:ascii="宋体" w:hAnsi="宋体" w:cs="宋体"/>
          <w:szCs w:val="21"/>
          <w:highlight w:val="none"/>
        </w:rPr>
        <w:t>，切实履行《合同》中的全部条款并按照竞争性磋商文件的要求向贵公司足额缴纳代理服务费。</w:t>
      </w:r>
    </w:p>
    <w:p>
      <w:pPr>
        <w:spacing w:line="380" w:lineRule="exact"/>
        <w:ind w:firstLine="420" w:firstLineChars="200"/>
        <w:rPr>
          <w:rFonts w:ascii="宋体" w:hAnsi="宋体" w:cs="宋体"/>
          <w:highlight w:val="none"/>
        </w:rPr>
      </w:pPr>
      <w:r>
        <w:rPr>
          <w:rFonts w:hint="eastAsia" w:ascii="宋体" w:hAnsi="宋体" w:cs="宋体"/>
          <w:szCs w:val="21"/>
          <w:highlight w:val="none"/>
          <w:lang w:val="en-US" w:eastAsia="zh-CN"/>
        </w:rPr>
        <w:t>8</w:t>
      </w:r>
      <w:r>
        <w:rPr>
          <w:rFonts w:hint="eastAsia" w:ascii="宋体" w:hAnsi="宋体" w:cs="宋体"/>
          <w:szCs w:val="21"/>
          <w:highlight w:val="none"/>
        </w:rPr>
        <w:t>）</w:t>
      </w:r>
      <w:r>
        <w:rPr>
          <w:rFonts w:hint="eastAsia" w:ascii="宋体" w:hAnsi="宋体" w:cs="宋体"/>
          <w:highlight w:val="none"/>
        </w:rPr>
        <w:t>我方保证，采购人在中华人民共和国境内使用我方投标货物、资料、技术、服务或其任何一部分时，享有不受限制的无偿使用权，如有第三方向采购人提出侵犯其专利权、商标权或其它知识产权的主张，该责任由我方承担。</w:t>
      </w:r>
    </w:p>
    <w:p>
      <w:pPr>
        <w:spacing w:line="380" w:lineRule="exact"/>
        <w:ind w:firstLine="420" w:firstLineChars="200"/>
        <w:rPr>
          <w:rFonts w:ascii="宋体" w:hAnsi="宋体" w:cs="宋体"/>
          <w:szCs w:val="21"/>
          <w:highlight w:val="none"/>
        </w:rPr>
      </w:pPr>
      <w:r>
        <w:rPr>
          <w:rFonts w:hint="eastAsia" w:ascii="宋体" w:hAnsi="宋体" w:cs="宋体"/>
          <w:szCs w:val="21"/>
          <w:highlight w:val="none"/>
        </w:rPr>
        <w:t>9）所有有关本次</w:t>
      </w:r>
      <w:r>
        <w:rPr>
          <w:rFonts w:hint="eastAsia" w:ascii="宋体" w:hAnsi="宋体" w:cs="宋体"/>
          <w:szCs w:val="21"/>
          <w:highlight w:val="none"/>
          <w:lang w:val="en-US" w:eastAsia="zh-CN"/>
        </w:rPr>
        <w:t>投标</w:t>
      </w:r>
      <w:r>
        <w:rPr>
          <w:rFonts w:hint="eastAsia" w:ascii="宋体" w:hAnsi="宋体" w:cs="宋体"/>
          <w:szCs w:val="21"/>
          <w:highlight w:val="none"/>
        </w:rPr>
        <w:t>的函电请寄：</w:t>
      </w:r>
      <w:r>
        <w:rPr>
          <w:rFonts w:hint="eastAsia" w:ascii="宋体" w:hAnsi="宋体" w:cs="宋体"/>
          <w:szCs w:val="21"/>
          <w:highlight w:val="none"/>
          <w:u w:val="single"/>
        </w:rPr>
        <w:t xml:space="preserve">                                              </w:t>
      </w:r>
      <w:r>
        <w:rPr>
          <w:rFonts w:hint="eastAsia" w:ascii="宋体" w:hAnsi="宋体" w:cs="宋体"/>
          <w:szCs w:val="21"/>
          <w:highlight w:val="none"/>
        </w:rPr>
        <w:t>。</w:t>
      </w:r>
    </w:p>
    <w:p>
      <w:pPr>
        <w:tabs>
          <w:tab w:val="left" w:pos="406"/>
        </w:tabs>
        <w:adjustRightInd w:val="0"/>
        <w:spacing w:line="380" w:lineRule="exact"/>
        <w:ind w:left="-126" w:leftChars="-60" w:firstLine="105" w:firstLineChars="50"/>
        <w:rPr>
          <w:rFonts w:ascii="宋体" w:hAnsi="宋体" w:cs="宋体"/>
          <w:szCs w:val="21"/>
          <w:highlight w:val="none"/>
        </w:rPr>
      </w:pPr>
    </w:p>
    <w:p>
      <w:pPr>
        <w:spacing w:line="380" w:lineRule="exact"/>
        <w:rPr>
          <w:rFonts w:ascii="宋体" w:hAnsi="宋体" w:cs="宋体"/>
          <w:szCs w:val="22"/>
          <w:highlight w:val="none"/>
        </w:rPr>
      </w:pPr>
      <w:r>
        <w:rPr>
          <w:rFonts w:hint="eastAsia" w:ascii="宋体" w:hAnsi="宋体" w:cs="宋体"/>
          <w:szCs w:val="22"/>
          <w:highlight w:val="none"/>
        </w:rPr>
        <w:t>供应商（单位公章）：</w:t>
      </w:r>
    </w:p>
    <w:p>
      <w:pPr>
        <w:spacing w:line="380" w:lineRule="exact"/>
        <w:rPr>
          <w:rFonts w:ascii="宋体" w:hAnsi="宋体" w:cs="宋体"/>
          <w:szCs w:val="22"/>
          <w:highlight w:val="none"/>
        </w:rPr>
      </w:pPr>
      <w:r>
        <w:rPr>
          <w:rFonts w:hint="eastAsia" w:ascii="宋体" w:hAnsi="宋体" w:cs="宋体"/>
          <w:szCs w:val="22"/>
          <w:highlight w:val="none"/>
        </w:rPr>
        <w:t>法定代表人或其授权代表（签字）：</w:t>
      </w:r>
    </w:p>
    <w:p>
      <w:pPr>
        <w:spacing w:line="380" w:lineRule="exact"/>
        <w:rPr>
          <w:rFonts w:ascii="宋体" w:hAnsi="宋体" w:cs="宋体"/>
          <w:szCs w:val="22"/>
          <w:highlight w:val="none"/>
        </w:rPr>
      </w:pPr>
      <w:r>
        <w:rPr>
          <w:rFonts w:hint="eastAsia" w:ascii="宋体" w:hAnsi="宋体" w:cs="宋体"/>
          <w:szCs w:val="22"/>
          <w:highlight w:val="none"/>
        </w:rPr>
        <w:t>地址：</w:t>
      </w:r>
    </w:p>
    <w:p>
      <w:pPr>
        <w:spacing w:line="380" w:lineRule="exact"/>
        <w:rPr>
          <w:rFonts w:ascii="宋体" w:hAnsi="宋体" w:cs="宋体"/>
          <w:szCs w:val="22"/>
          <w:highlight w:val="none"/>
        </w:rPr>
      </w:pPr>
      <w:r>
        <w:rPr>
          <w:rFonts w:hint="eastAsia" w:ascii="宋体" w:hAnsi="宋体" w:cs="宋体"/>
          <w:szCs w:val="22"/>
          <w:highlight w:val="none"/>
        </w:rPr>
        <w:t>联系电话（手机/固话）：</w:t>
      </w:r>
    </w:p>
    <w:p>
      <w:pPr>
        <w:spacing w:line="380" w:lineRule="exact"/>
        <w:rPr>
          <w:rFonts w:ascii="宋体" w:hAnsi="宋体" w:cs="宋体"/>
          <w:szCs w:val="22"/>
          <w:highlight w:val="none"/>
        </w:rPr>
      </w:pPr>
      <w:r>
        <w:rPr>
          <w:rFonts w:hint="eastAsia" w:ascii="宋体" w:hAnsi="宋体" w:cs="宋体"/>
          <w:szCs w:val="22"/>
          <w:highlight w:val="none"/>
        </w:rPr>
        <w:t>电子邮箱：</w:t>
      </w:r>
    </w:p>
    <w:p>
      <w:pPr>
        <w:spacing w:line="380" w:lineRule="exact"/>
        <w:rPr>
          <w:rFonts w:ascii="宋体" w:hAnsi="宋体" w:cs="宋体"/>
          <w:szCs w:val="22"/>
          <w:highlight w:val="none"/>
        </w:rPr>
      </w:pPr>
      <w:r>
        <w:rPr>
          <w:rFonts w:hint="eastAsia" w:ascii="宋体" w:hAnsi="宋体" w:cs="宋体"/>
          <w:szCs w:val="22"/>
          <w:highlight w:val="none"/>
        </w:rPr>
        <w:t>日期：</w:t>
      </w:r>
    </w:p>
    <w:p>
      <w:pPr>
        <w:spacing w:line="420" w:lineRule="exact"/>
        <w:ind w:right="84" w:rightChars="40"/>
        <w:rPr>
          <w:rFonts w:ascii="宋体" w:hAnsi="宋体" w:cs="宋体"/>
          <w:b/>
          <w:highlight w:val="none"/>
        </w:rPr>
      </w:pPr>
      <w:r>
        <w:rPr>
          <w:rFonts w:hint="eastAsia" w:ascii="宋体" w:hAnsi="宋体" w:cs="宋体"/>
          <w:b/>
          <w:highlight w:val="none"/>
        </w:rPr>
        <w:t>备注：本</w:t>
      </w:r>
      <w:r>
        <w:rPr>
          <w:rFonts w:hint="eastAsia" w:ascii="宋体" w:hAnsi="宋体" w:cs="宋体"/>
          <w:b/>
          <w:highlight w:val="none"/>
          <w:lang w:val="en-US" w:eastAsia="zh-CN"/>
        </w:rPr>
        <w:t>投标</w:t>
      </w:r>
      <w:r>
        <w:rPr>
          <w:rFonts w:hint="eastAsia" w:ascii="宋体" w:hAnsi="宋体" w:cs="宋体"/>
          <w:b/>
          <w:highlight w:val="none"/>
        </w:rPr>
        <w:t>函内容不得擅自删改。</w:t>
      </w:r>
    </w:p>
    <w:p>
      <w:pPr>
        <w:pStyle w:val="3"/>
        <w:keepLines w:val="0"/>
        <w:widowControl w:val="0"/>
        <w:tabs>
          <w:tab w:val="left" w:pos="851"/>
        </w:tabs>
        <w:adjustRightInd/>
        <w:snapToGrid/>
        <w:jc w:val="both"/>
        <w:rPr>
          <w:rFonts w:hAnsi="宋体" w:cs="宋体"/>
          <w:b/>
          <w:sz w:val="21"/>
          <w:szCs w:val="21"/>
          <w:highlight w:val="none"/>
        </w:rPr>
      </w:pPr>
      <w:r>
        <w:rPr>
          <w:rFonts w:hint="eastAsia" w:hAnsi="宋体" w:cs="宋体"/>
          <w:b/>
          <w:bCs/>
          <w:sz w:val="21"/>
          <w:szCs w:val="21"/>
          <w:highlight w:val="none"/>
        </w:rPr>
        <w:br w:type="page"/>
      </w:r>
      <w:bookmarkStart w:id="2264" w:name="_Toc8988"/>
      <w:bookmarkStart w:id="2265" w:name="_Toc32393"/>
      <w:bookmarkStart w:id="2266" w:name="_Toc2953867"/>
      <w:bookmarkStart w:id="2267" w:name="_Toc3293661"/>
      <w:bookmarkStart w:id="2268" w:name="_Toc9656"/>
      <w:bookmarkStart w:id="2269" w:name="_Toc530581219"/>
      <w:bookmarkStart w:id="2270" w:name="_Toc30397"/>
      <w:bookmarkStart w:id="2271" w:name="_Toc535849052"/>
      <w:bookmarkStart w:id="2272" w:name="_Toc454820104"/>
      <w:bookmarkStart w:id="2273" w:name="_Toc502737193"/>
      <w:bookmarkStart w:id="2274" w:name="_Toc9311"/>
      <w:bookmarkStart w:id="2275" w:name="_Toc21286"/>
      <w:bookmarkStart w:id="2276" w:name="_Toc455134767"/>
      <w:bookmarkStart w:id="2277" w:name="_Toc29976"/>
      <w:bookmarkStart w:id="2278" w:name="_Toc8098"/>
      <w:bookmarkStart w:id="2279" w:name="_Toc13157"/>
      <w:r>
        <w:rPr>
          <w:rFonts w:hint="eastAsia" w:hAnsi="宋体" w:cs="宋体"/>
          <w:b/>
          <w:bCs/>
          <w:sz w:val="21"/>
          <w:szCs w:val="21"/>
          <w:highlight w:val="none"/>
        </w:rPr>
        <w:t>3.</w:t>
      </w:r>
      <w:bookmarkEnd w:id="2264"/>
      <w:bookmarkEnd w:id="2265"/>
      <w:bookmarkEnd w:id="2266"/>
      <w:bookmarkEnd w:id="2267"/>
      <w:bookmarkEnd w:id="2268"/>
      <w:bookmarkEnd w:id="2269"/>
      <w:bookmarkEnd w:id="2270"/>
      <w:bookmarkStart w:id="2280" w:name="_Toc13477"/>
      <w:r>
        <w:rPr>
          <w:rFonts w:hint="eastAsia" w:hAnsi="宋体" w:cs="宋体"/>
          <w:b/>
          <w:sz w:val="21"/>
          <w:szCs w:val="21"/>
          <w:highlight w:val="none"/>
        </w:rPr>
        <w:t>资格性审查证明文件</w:t>
      </w:r>
      <w:bookmarkEnd w:id="2271"/>
      <w:bookmarkEnd w:id="2272"/>
      <w:bookmarkEnd w:id="2273"/>
      <w:bookmarkEnd w:id="2274"/>
      <w:bookmarkEnd w:id="2275"/>
      <w:bookmarkEnd w:id="2276"/>
      <w:bookmarkEnd w:id="2277"/>
      <w:bookmarkEnd w:id="2278"/>
      <w:bookmarkEnd w:id="2279"/>
      <w:bookmarkEnd w:id="2280"/>
    </w:p>
    <w:p>
      <w:pPr>
        <w:pStyle w:val="6"/>
        <w:tabs>
          <w:tab w:val="left" w:pos="851"/>
        </w:tabs>
        <w:ind w:firstLine="422" w:firstLineChars="200"/>
        <w:rPr>
          <w:rFonts w:hAnsi="宋体" w:cs="宋体"/>
          <w:b/>
          <w:color w:val="auto"/>
          <w:highlight w:val="none"/>
          <w:u w:val="single"/>
        </w:rPr>
      </w:pPr>
      <w:r>
        <w:rPr>
          <w:rFonts w:hint="eastAsia" w:hAnsi="宋体" w:cs="宋体"/>
          <w:b/>
          <w:color w:val="auto"/>
          <w:highlight w:val="none"/>
          <w:u w:val="single"/>
        </w:rPr>
        <w:t>以下材料将作为供应商资格性审查的证明文件，供应商必须严格按照其内容及序列要求在响应文件中对应如实提供，对资格性证明文件的任何缺漏和不符合项将会直接导致投标无效！</w:t>
      </w:r>
    </w:p>
    <w:tbl>
      <w:tblPr>
        <w:tblStyle w:val="46"/>
        <w:tblW w:w="8781" w:type="dxa"/>
        <w:jc w:val="center"/>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751"/>
        <w:gridCol w:w="6485"/>
        <w:gridCol w:w="1545"/>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381" w:hRule="atLeast"/>
          <w:tblHeader/>
          <w:jc w:val="center"/>
        </w:trPr>
        <w:tc>
          <w:tcPr>
            <w:tcW w:w="751"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b/>
                <w:bCs/>
                <w:highlight w:val="none"/>
              </w:rPr>
            </w:pPr>
            <w:r>
              <w:rPr>
                <w:rFonts w:hint="eastAsia" w:ascii="宋体" w:hAnsi="宋体" w:cs="宋体"/>
                <w:b/>
                <w:bCs/>
                <w:highlight w:val="none"/>
              </w:rPr>
              <w:t>序号</w:t>
            </w:r>
          </w:p>
        </w:tc>
        <w:tc>
          <w:tcPr>
            <w:tcW w:w="6485"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b/>
                <w:bCs/>
                <w:highlight w:val="none"/>
              </w:rPr>
            </w:pPr>
            <w:r>
              <w:rPr>
                <w:rStyle w:val="49"/>
                <w:rFonts w:hint="eastAsia" w:ascii="宋体" w:hAnsi="宋体" w:cs="宋体"/>
                <w:highlight w:val="none"/>
              </w:rPr>
              <w:t>要求</w:t>
            </w:r>
          </w:p>
        </w:tc>
        <w:tc>
          <w:tcPr>
            <w:tcW w:w="1545"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b/>
                <w:bCs/>
                <w:highlight w:val="none"/>
              </w:rPr>
            </w:pPr>
            <w:r>
              <w:rPr>
                <w:rStyle w:val="49"/>
                <w:rFonts w:hint="eastAsia" w:ascii="宋体" w:hAnsi="宋体" w:cs="宋体"/>
                <w:highlight w:val="none"/>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404" w:hRule="atLeast"/>
          <w:jc w:val="center"/>
        </w:trPr>
        <w:tc>
          <w:tcPr>
            <w:tcW w:w="751" w:type="dxa"/>
            <w:tcBorders>
              <w:top w:val="outset" w:color="111111" w:sz="6" w:space="0"/>
              <w:left w:val="outset" w:color="111111" w:sz="6" w:space="0"/>
              <w:bottom w:val="single" w:color="auto" w:sz="4" w:space="0"/>
              <w:right w:val="outset" w:color="111111" w:sz="6" w:space="0"/>
            </w:tcBorders>
            <w:vAlign w:val="center"/>
          </w:tcPr>
          <w:p>
            <w:pPr>
              <w:pStyle w:val="41"/>
              <w:jc w:val="center"/>
              <w:rPr>
                <w:sz w:val="21"/>
                <w:szCs w:val="21"/>
                <w:highlight w:val="none"/>
              </w:rPr>
            </w:pPr>
            <w:r>
              <w:rPr>
                <w:rFonts w:hint="eastAsia"/>
                <w:sz w:val="21"/>
                <w:szCs w:val="21"/>
                <w:highlight w:val="none"/>
              </w:rPr>
              <w:t>3.1</w:t>
            </w:r>
          </w:p>
        </w:tc>
        <w:tc>
          <w:tcPr>
            <w:tcW w:w="6485"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highlight w:val="none"/>
              </w:rPr>
            </w:pPr>
            <w:r>
              <w:rPr>
                <w:rFonts w:hint="eastAsia" w:ascii="宋体" w:hAnsi="宋体" w:cs="宋体"/>
                <w:highlight w:val="none"/>
              </w:rPr>
              <w:t>有效的营业执照（或事业法人登记证等相关证明）副本复印件。</w:t>
            </w:r>
          </w:p>
        </w:tc>
        <w:tc>
          <w:tcPr>
            <w:tcW w:w="1545"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highlight w:val="none"/>
              </w:rPr>
            </w:pPr>
            <w:r>
              <w:rPr>
                <w:rFonts w:hint="eastAsia" w:ascii="宋体" w:hAnsi="宋体" w:cs="宋体"/>
                <w:highlight w:val="none"/>
              </w:rPr>
              <w:t>见响应文件第（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450" w:hRule="atLeast"/>
          <w:jc w:val="center"/>
        </w:trPr>
        <w:tc>
          <w:tcPr>
            <w:tcW w:w="751" w:type="dxa"/>
            <w:tcBorders>
              <w:top w:val="single" w:color="auto" w:sz="4" w:space="0"/>
              <w:left w:val="outset" w:color="111111" w:sz="6" w:space="0"/>
              <w:bottom w:val="single" w:color="auto" w:sz="4" w:space="0"/>
              <w:right w:val="outset" w:color="111111" w:sz="6" w:space="0"/>
            </w:tcBorders>
            <w:vAlign w:val="center"/>
          </w:tcPr>
          <w:p>
            <w:pPr>
              <w:pStyle w:val="41"/>
              <w:jc w:val="center"/>
              <w:rPr>
                <w:sz w:val="21"/>
                <w:szCs w:val="21"/>
                <w:highlight w:val="none"/>
              </w:rPr>
            </w:pPr>
            <w:r>
              <w:rPr>
                <w:rFonts w:hint="eastAsia"/>
                <w:sz w:val="21"/>
                <w:szCs w:val="21"/>
                <w:highlight w:val="none"/>
              </w:rPr>
              <w:t>3.2</w:t>
            </w:r>
          </w:p>
        </w:tc>
        <w:tc>
          <w:tcPr>
            <w:tcW w:w="6485"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highlight w:val="none"/>
              </w:rPr>
            </w:pPr>
            <w:r>
              <w:rPr>
                <w:rFonts w:hint="eastAsia" w:ascii="宋体" w:hAnsi="宋体" w:cs="宋体"/>
                <w:highlight w:val="none"/>
              </w:rPr>
              <w:t>2019度财务状况报告或基本开户行出具的资信证明</w:t>
            </w:r>
          </w:p>
        </w:tc>
        <w:tc>
          <w:tcPr>
            <w:tcW w:w="1545"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highlight w:val="none"/>
              </w:rPr>
            </w:pPr>
            <w:r>
              <w:rPr>
                <w:rFonts w:hint="eastAsia" w:ascii="宋体" w:hAnsi="宋体" w:cs="宋体"/>
                <w:highlight w:val="none"/>
              </w:rPr>
              <w:t>见响应文件第（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222" w:hRule="atLeast"/>
          <w:jc w:val="center"/>
        </w:trPr>
        <w:tc>
          <w:tcPr>
            <w:tcW w:w="751" w:type="dxa"/>
            <w:tcBorders>
              <w:top w:val="single" w:color="auto" w:sz="4" w:space="0"/>
              <w:left w:val="outset" w:color="111111" w:sz="6" w:space="0"/>
              <w:bottom w:val="single" w:color="auto" w:sz="4" w:space="0"/>
              <w:right w:val="outset" w:color="111111" w:sz="6" w:space="0"/>
            </w:tcBorders>
            <w:vAlign w:val="center"/>
          </w:tcPr>
          <w:p>
            <w:pPr>
              <w:pStyle w:val="41"/>
              <w:jc w:val="center"/>
              <w:rPr>
                <w:sz w:val="21"/>
                <w:szCs w:val="21"/>
                <w:highlight w:val="none"/>
              </w:rPr>
            </w:pPr>
            <w:r>
              <w:rPr>
                <w:rFonts w:hint="eastAsia"/>
                <w:sz w:val="21"/>
                <w:szCs w:val="21"/>
                <w:highlight w:val="none"/>
              </w:rPr>
              <w:t>3.3</w:t>
            </w:r>
          </w:p>
        </w:tc>
        <w:tc>
          <w:tcPr>
            <w:tcW w:w="6485"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highlight w:val="none"/>
              </w:rPr>
            </w:pPr>
            <w:r>
              <w:rPr>
                <w:rFonts w:hint="eastAsia" w:ascii="宋体" w:hAnsi="宋体" w:cs="宋体"/>
                <w:b/>
                <w:bCs/>
                <w:highlight w:val="none"/>
              </w:rPr>
              <w:t>磋商截止日前6个月内任意1个月</w:t>
            </w:r>
            <w:r>
              <w:rPr>
                <w:rFonts w:hint="eastAsia" w:ascii="宋体" w:hAnsi="宋体" w:cs="宋体"/>
                <w:highlight w:val="none"/>
              </w:rPr>
              <w:t>依法缴纳税收的相关材料。如依法免税的，提供相应证明材料。</w:t>
            </w:r>
          </w:p>
        </w:tc>
        <w:tc>
          <w:tcPr>
            <w:tcW w:w="1545"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highlight w:val="none"/>
              </w:rPr>
            </w:pPr>
            <w:r>
              <w:rPr>
                <w:rFonts w:hint="eastAsia" w:ascii="宋体" w:hAnsi="宋体" w:cs="宋体"/>
                <w:highlight w:val="none"/>
              </w:rPr>
              <w:t>见响应文件第（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222" w:hRule="atLeast"/>
          <w:jc w:val="center"/>
        </w:trPr>
        <w:tc>
          <w:tcPr>
            <w:tcW w:w="751" w:type="dxa"/>
            <w:tcBorders>
              <w:top w:val="single" w:color="auto" w:sz="4" w:space="0"/>
              <w:left w:val="outset" w:color="111111" w:sz="6" w:space="0"/>
              <w:bottom w:val="single" w:color="auto" w:sz="4" w:space="0"/>
              <w:right w:val="outset" w:color="111111" w:sz="6" w:space="0"/>
            </w:tcBorders>
            <w:vAlign w:val="center"/>
          </w:tcPr>
          <w:p>
            <w:pPr>
              <w:pStyle w:val="41"/>
              <w:jc w:val="center"/>
              <w:rPr>
                <w:sz w:val="21"/>
                <w:szCs w:val="21"/>
                <w:highlight w:val="none"/>
              </w:rPr>
            </w:pPr>
            <w:r>
              <w:rPr>
                <w:rFonts w:hint="eastAsia"/>
                <w:sz w:val="21"/>
                <w:szCs w:val="21"/>
                <w:highlight w:val="none"/>
              </w:rPr>
              <w:t>3.4</w:t>
            </w:r>
          </w:p>
        </w:tc>
        <w:tc>
          <w:tcPr>
            <w:tcW w:w="6485"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highlight w:val="none"/>
              </w:rPr>
            </w:pPr>
            <w:r>
              <w:rPr>
                <w:rFonts w:hint="eastAsia" w:ascii="宋体" w:hAnsi="宋体" w:cs="宋体"/>
                <w:b/>
                <w:bCs/>
                <w:highlight w:val="none"/>
              </w:rPr>
              <w:t>磋商截止日前6个月内任意1个月</w:t>
            </w:r>
            <w:r>
              <w:rPr>
                <w:rFonts w:hint="eastAsia" w:ascii="宋体" w:hAnsi="宋体" w:cs="宋体"/>
                <w:highlight w:val="none"/>
              </w:rPr>
              <w:t>依法缴纳社会保障资金的相关材料。如依法不需要缴纳社会保障资金的，提供相应证明材料。</w:t>
            </w:r>
          </w:p>
        </w:tc>
        <w:tc>
          <w:tcPr>
            <w:tcW w:w="1545"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highlight w:val="none"/>
              </w:rPr>
            </w:pPr>
            <w:r>
              <w:rPr>
                <w:rFonts w:hint="eastAsia" w:ascii="宋体" w:hAnsi="宋体" w:cs="宋体"/>
                <w:highlight w:val="none"/>
              </w:rPr>
              <w:t>见响应文件第（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222" w:hRule="atLeast"/>
          <w:jc w:val="center"/>
        </w:trPr>
        <w:tc>
          <w:tcPr>
            <w:tcW w:w="751" w:type="dxa"/>
            <w:tcBorders>
              <w:top w:val="single" w:color="auto" w:sz="4" w:space="0"/>
              <w:left w:val="outset" w:color="111111" w:sz="6" w:space="0"/>
              <w:bottom w:val="single" w:color="auto" w:sz="4" w:space="0"/>
              <w:right w:val="outset" w:color="111111" w:sz="6" w:space="0"/>
            </w:tcBorders>
            <w:vAlign w:val="center"/>
          </w:tcPr>
          <w:p>
            <w:pPr>
              <w:pStyle w:val="41"/>
              <w:jc w:val="center"/>
              <w:rPr>
                <w:sz w:val="21"/>
                <w:szCs w:val="21"/>
                <w:highlight w:val="none"/>
              </w:rPr>
            </w:pPr>
            <w:r>
              <w:rPr>
                <w:rFonts w:hint="eastAsia"/>
                <w:sz w:val="21"/>
                <w:szCs w:val="21"/>
                <w:highlight w:val="none"/>
              </w:rPr>
              <w:t>3.5</w:t>
            </w:r>
          </w:p>
        </w:tc>
        <w:tc>
          <w:tcPr>
            <w:tcW w:w="6485" w:type="dxa"/>
            <w:tcBorders>
              <w:top w:val="outset" w:color="111111" w:sz="6" w:space="0"/>
              <w:left w:val="outset" w:color="111111" w:sz="6" w:space="0"/>
              <w:bottom w:val="single" w:color="auto" w:sz="4" w:space="0"/>
              <w:right w:val="outset" w:color="111111" w:sz="6" w:space="0"/>
            </w:tcBorders>
            <w:vAlign w:val="center"/>
          </w:tcPr>
          <w:p>
            <w:pPr>
              <w:rPr>
                <w:rFonts w:ascii="宋体" w:hAnsi="宋体" w:cs="宋体"/>
                <w:highlight w:val="none"/>
              </w:rPr>
            </w:pPr>
            <w:r>
              <w:rPr>
                <w:rFonts w:hint="eastAsia" w:ascii="宋体" w:hAnsi="宋体" w:cs="宋体"/>
                <w:highlight w:val="none"/>
              </w:rPr>
              <w:t>关于非联合体磋商的书面声明。（格式自拟）</w:t>
            </w:r>
          </w:p>
        </w:tc>
        <w:tc>
          <w:tcPr>
            <w:tcW w:w="1545"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highlight w:val="none"/>
              </w:rPr>
            </w:pPr>
            <w:r>
              <w:rPr>
                <w:rFonts w:hint="eastAsia" w:ascii="宋体" w:hAnsi="宋体" w:cs="宋体"/>
                <w:highlight w:val="none"/>
              </w:rPr>
              <w:t>见响应文件第（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222" w:hRule="atLeast"/>
          <w:jc w:val="center"/>
        </w:trPr>
        <w:tc>
          <w:tcPr>
            <w:tcW w:w="751" w:type="dxa"/>
            <w:tcBorders>
              <w:top w:val="single" w:color="auto" w:sz="4" w:space="0"/>
              <w:left w:val="outset" w:color="111111" w:sz="6" w:space="0"/>
              <w:bottom w:val="single" w:color="auto" w:sz="4" w:space="0"/>
              <w:right w:val="outset" w:color="111111" w:sz="6" w:space="0"/>
            </w:tcBorders>
            <w:vAlign w:val="center"/>
          </w:tcPr>
          <w:p>
            <w:pPr>
              <w:pStyle w:val="41"/>
              <w:jc w:val="center"/>
              <w:rPr>
                <w:sz w:val="21"/>
                <w:szCs w:val="21"/>
                <w:highlight w:val="none"/>
              </w:rPr>
            </w:pPr>
            <w:r>
              <w:rPr>
                <w:rFonts w:hint="eastAsia"/>
                <w:sz w:val="21"/>
                <w:szCs w:val="21"/>
                <w:highlight w:val="none"/>
              </w:rPr>
              <w:t>3.6</w:t>
            </w:r>
          </w:p>
        </w:tc>
        <w:tc>
          <w:tcPr>
            <w:tcW w:w="6485" w:type="dxa"/>
            <w:tcBorders>
              <w:top w:val="single" w:color="auto" w:sz="4" w:space="0"/>
              <w:left w:val="outset" w:color="111111" w:sz="6" w:space="0"/>
              <w:bottom w:val="outset" w:color="111111" w:sz="6" w:space="0"/>
              <w:right w:val="outset" w:color="111111" w:sz="6" w:space="0"/>
            </w:tcBorders>
            <w:vAlign w:val="center"/>
          </w:tcPr>
          <w:p>
            <w:pPr>
              <w:rPr>
                <w:rFonts w:ascii="宋体" w:hAnsi="宋体" w:cs="宋体"/>
                <w:highlight w:val="none"/>
              </w:rPr>
            </w:pPr>
            <w:r>
              <w:rPr>
                <w:rFonts w:hint="eastAsia" w:ascii="宋体" w:hAnsi="宋体" w:cs="宋体"/>
                <w:highlight w:val="none"/>
              </w:rPr>
              <w:t>购买本项目磋商文件的凭证（购买磋商文件发票或回执）。</w:t>
            </w:r>
          </w:p>
        </w:tc>
        <w:tc>
          <w:tcPr>
            <w:tcW w:w="1545"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highlight w:val="none"/>
              </w:rPr>
            </w:pPr>
            <w:r>
              <w:rPr>
                <w:rFonts w:hint="eastAsia" w:ascii="宋体" w:hAnsi="宋体" w:cs="宋体"/>
                <w:highlight w:val="none"/>
              </w:rPr>
              <w:t>见响应文件第（ ）页</w:t>
            </w:r>
          </w:p>
        </w:tc>
      </w:tr>
    </w:tbl>
    <w:p>
      <w:pPr>
        <w:pStyle w:val="6"/>
        <w:tabs>
          <w:tab w:val="left" w:pos="851"/>
        </w:tabs>
        <w:rPr>
          <w:rFonts w:hAnsi="宋体" w:cs="宋体"/>
          <w:color w:val="auto"/>
          <w:highlight w:val="none"/>
        </w:rPr>
      </w:pPr>
    </w:p>
    <w:p>
      <w:pPr>
        <w:pStyle w:val="6"/>
        <w:tabs>
          <w:tab w:val="left" w:pos="851"/>
        </w:tabs>
        <w:ind w:firstLine="420" w:firstLineChars="200"/>
        <w:rPr>
          <w:rFonts w:hAnsi="宋体" w:cs="宋体"/>
          <w:color w:val="auto"/>
          <w:highlight w:val="none"/>
        </w:rPr>
      </w:pPr>
      <w:r>
        <w:rPr>
          <w:rFonts w:hint="eastAsia" w:hAnsi="宋体" w:cs="宋体"/>
          <w:color w:val="auto"/>
          <w:highlight w:val="none"/>
        </w:rPr>
        <w:t>3.7 具有履行合同所必需的设备和专业技术能力情况表：</w:t>
      </w:r>
    </w:p>
    <w:tbl>
      <w:tblPr>
        <w:tblStyle w:val="46"/>
        <w:tblW w:w="8614"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839"/>
        <w:gridCol w:w="4228"/>
        <w:gridCol w:w="1597"/>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rPr>
          <w:trHeight w:val="248" w:hRule="atLeast"/>
        </w:trPr>
        <w:tc>
          <w:tcPr>
            <w:tcW w:w="8614" w:type="dxa"/>
            <w:gridSpan w:val="4"/>
            <w:tcBorders>
              <w:top w:val="single" w:color="auto" w:sz="4" w:space="0"/>
              <w:left w:val="single" w:color="auto" w:sz="4" w:space="0"/>
              <w:bottom w:val="single" w:color="auto" w:sz="4" w:space="0"/>
              <w:right w:val="single" w:color="auto" w:sz="4" w:space="0"/>
            </w:tcBorders>
          </w:tcPr>
          <w:p>
            <w:pPr>
              <w:rPr>
                <w:rFonts w:ascii="宋体" w:hAnsi="宋体" w:cs="宋体"/>
                <w:b/>
                <w:highlight w:val="none"/>
              </w:rPr>
            </w:pPr>
            <w:r>
              <w:rPr>
                <w:rFonts w:hint="eastAsia" w:ascii="宋体" w:hAnsi="宋体" w:cs="宋体"/>
                <w:b/>
                <w:highlight w:val="none"/>
              </w:rPr>
              <w:t>我单位为本项目实施提供以下设备和专业技术人员：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c>
          <w:tcPr>
            <w:tcW w:w="839"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highlight w:val="none"/>
              </w:rPr>
            </w:pPr>
            <w:r>
              <w:rPr>
                <w:rFonts w:hint="eastAsia" w:ascii="宋体" w:hAnsi="宋体" w:cs="宋体"/>
                <w:b/>
                <w:highlight w:val="none"/>
              </w:rPr>
              <w:t>序号</w:t>
            </w:r>
          </w:p>
        </w:tc>
        <w:tc>
          <w:tcPr>
            <w:tcW w:w="4228"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highlight w:val="none"/>
              </w:rPr>
            </w:pPr>
            <w:r>
              <w:rPr>
                <w:rFonts w:hint="eastAsia" w:ascii="宋体" w:hAnsi="宋体" w:cs="宋体"/>
                <w:b/>
                <w:highlight w:val="none"/>
              </w:rPr>
              <w:t>设备名称或专业技术人员</w:t>
            </w:r>
          </w:p>
        </w:tc>
        <w:tc>
          <w:tcPr>
            <w:tcW w:w="1597"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highlight w:val="none"/>
              </w:rPr>
            </w:pPr>
            <w:r>
              <w:rPr>
                <w:rFonts w:hint="eastAsia" w:ascii="宋体" w:hAnsi="宋体" w:cs="宋体"/>
                <w:b/>
                <w:highlight w:val="none"/>
              </w:rPr>
              <w:t>数量及单位</w:t>
            </w:r>
          </w:p>
        </w:tc>
        <w:tc>
          <w:tcPr>
            <w:tcW w:w="1950"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highlight w:val="none"/>
              </w:rPr>
            </w:pPr>
            <w:r>
              <w:rPr>
                <w:rFonts w:hint="eastAsia" w:ascii="宋体" w:hAnsi="宋体" w:cs="宋体"/>
                <w:b/>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rPr>
          <w:trHeight w:val="345" w:hRule="atLeast"/>
        </w:trPr>
        <w:tc>
          <w:tcPr>
            <w:tcW w:w="839" w:type="dxa"/>
            <w:tcBorders>
              <w:top w:val="single" w:color="auto" w:sz="4" w:space="0"/>
              <w:left w:val="single" w:color="auto" w:sz="4" w:space="0"/>
              <w:bottom w:val="single" w:color="auto" w:sz="4" w:space="0"/>
              <w:right w:val="single" w:color="auto" w:sz="4" w:space="0"/>
            </w:tcBorders>
          </w:tcPr>
          <w:p>
            <w:pPr>
              <w:jc w:val="center"/>
              <w:rPr>
                <w:rFonts w:ascii="宋体" w:hAnsi="宋体" w:cs="宋体"/>
                <w:highlight w:val="none"/>
              </w:rPr>
            </w:pPr>
            <w:r>
              <w:rPr>
                <w:rFonts w:hint="eastAsia" w:ascii="宋体" w:hAnsi="宋体" w:cs="宋体"/>
                <w:highlight w:val="none"/>
              </w:rPr>
              <w:t>1</w:t>
            </w:r>
          </w:p>
        </w:tc>
        <w:tc>
          <w:tcPr>
            <w:tcW w:w="4228" w:type="dxa"/>
            <w:tcBorders>
              <w:top w:val="single" w:color="auto" w:sz="4" w:space="0"/>
              <w:left w:val="single" w:color="auto" w:sz="4" w:space="0"/>
              <w:bottom w:val="single" w:color="auto" w:sz="4" w:space="0"/>
              <w:right w:val="single" w:color="auto" w:sz="4" w:space="0"/>
            </w:tcBorders>
          </w:tcPr>
          <w:p>
            <w:pPr>
              <w:rPr>
                <w:rFonts w:ascii="宋体" w:hAnsi="宋体" w:cs="宋体"/>
                <w:highlight w:val="none"/>
              </w:rPr>
            </w:pPr>
          </w:p>
        </w:tc>
        <w:tc>
          <w:tcPr>
            <w:tcW w:w="1597" w:type="dxa"/>
            <w:tcBorders>
              <w:top w:val="single" w:color="auto" w:sz="4" w:space="0"/>
              <w:left w:val="single" w:color="auto" w:sz="4" w:space="0"/>
              <w:bottom w:val="single" w:color="auto" w:sz="4" w:space="0"/>
              <w:right w:val="single" w:color="auto" w:sz="4" w:space="0"/>
            </w:tcBorders>
          </w:tcPr>
          <w:p>
            <w:pPr>
              <w:rPr>
                <w:rFonts w:ascii="宋体" w:hAnsi="宋体" w:cs="宋体"/>
                <w:highlight w:val="none"/>
              </w:rPr>
            </w:pPr>
          </w:p>
        </w:tc>
        <w:tc>
          <w:tcPr>
            <w:tcW w:w="1950" w:type="dxa"/>
            <w:tcBorders>
              <w:top w:val="single" w:color="auto" w:sz="4" w:space="0"/>
              <w:left w:val="single" w:color="auto" w:sz="4" w:space="0"/>
              <w:bottom w:val="single" w:color="auto" w:sz="4" w:space="0"/>
              <w:right w:val="single" w:color="auto" w:sz="4" w:space="0"/>
            </w:tcBorders>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39" w:type="dxa"/>
            <w:tcBorders>
              <w:top w:val="single" w:color="auto" w:sz="4" w:space="0"/>
              <w:left w:val="single" w:color="auto" w:sz="4" w:space="0"/>
              <w:bottom w:val="single" w:color="auto" w:sz="4" w:space="0"/>
              <w:right w:val="single" w:color="auto" w:sz="4" w:space="0"/>
            </w:tcBorders>
          </w:tcPr>
          <w:p>
            <w:pPr>
              <w:jc w:val="center"/>
              <w:rPr>
                <w:rFonts w:ascii="宋体" w:hAnsi="宋体" w:cs="宋体"/>
                <w:highlight w:val="none"/>
              </w:rPr>
            </w:pPr>
            <w:r>
              <w:rPr>
                <w:rFonts w:hint="eastAsia" w:ascii="宋体" w:hAnsi="宋体" w:cs="宋体"/>
                <w:highlight w:val="none"/>
              </w:rPr>
              <w:t>2</w:t>
            </w:r>
          </w:p>
        </w:tc>
        <w:tc>
          <w:tcPr>
            <w:tcW w:w="4228" w:type="dxa"/>
            <w:tcBorders>
              <w:top w:val="single" w:color="auto" w:sz="4" w:space="0"/>
              <w:left w:val="single" w:color="auto" w:sz="4" w:space="0"/>
              <w:bottom w:val="single" w:color="auto" w:sz="4" w:space="0"/>
              <w:right w:val="single" w:color="auto" w:sz="4" w:space="0"/>
            </w:tcBorders>
          </w:tcPr>
          <w:p>
            <w:pPr>
              <w:rPr>
                <w:rFonts w:ascii="宋体" w:hAnsi="宋体" w:cs="宋体"/>
                <w:highlight w:val="none"/>
              </w:rPr>
            </w:pPr>
          </w:p>
        </w:tc>
        <w:tc>
          <w:tcPr>
            <w:tcW w:w="1597" w:type="dxa"/>
            <w:tcBorders>
              <w:top w:val="single" w:color="auto" w:sz="4" w:space="0"/>
              <w:left w:val="single" w:color="auto" w:sz="4" w:space="0"/>
              <w:bottom w:val="single" w:color="auto" w:sz="4" w:space="0"/>
              <w:right w:val="single" w:color="auto" w:sz="4" w:space="0"/>
            </w:tcBorders>
          </w:tcPr>
          <w:p>
            <w:pPr>
              <w:rPr>
                <w:rFonts w:ascii="宋体" w:hAnsi="宋体" w:cs="宋体"/>
                <w:highlight w:val="none"/>
              </w:rPr>
            </w:pPr>
          </w:p>
        </w:tc>
        <w:tc>
          <w:tcPr>
            <w:tcW w:w="1950" w:type="dxa"/>
            <w:tcBorders>
              <w:top w:val="single" w:color="auto" w:sz="4" w:space="0"/>
              <w:left w:val="single" w:color="auto" w:sz="4" w:space="0"/>
              <w:bottom w:val="single" w:color="auto" w:sz="4" w:space="0"/>
              <w:right w:val="single" w:color="auto" w:sz="4" w:space="0"/>
            </w:tcBorders>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39" w:type="dxa"/>
            <w:tcBorders>
              <w:top w:val="single" w:color="auto" w:sz="4" w:space="0"/>
              <w:left w:val="single" w:color="auto" w:sz="4" w:space="0"/>
              <w:bottom w:val="single" w:color="auto" w:sz="4" w:space="0"/>
              <w:right w:val="single" w:color="auto" w:sz="4" w:space="0"/>
            </w:tcBorders>
          </w:tcPr>
          <w:p>
            <w:pPr>
              <w:jc w:val="center"/>
              <w:rPr>
                <w:rFonts w:ascii="宋体" w:hAnsi="宋体" w:cs="宋体"/>
                <w:highlight w:val="none"/>
              </w:rPr>
            </w:pPr>
            <w:r>
              <w:rPr>
                <w:rFonts w:hint="eastAsia" w:ascii="宋体" w:hAnsi="宋体" w:cs="宋体"/>
                <w:highlight w:val="none"/>
              </w:rPr>
              <w:t>3</w:t>
            </w:r>
          </w:p>
        </w:tc>
        <w:tc>
          <w:tcPr>
            <w:tcW w:w="4228" w:type="dxa"/>
            <w:tcBorders>
              <w:top w:val="single" w:color="auto" w:sz="4" w:space="0"/>
              <w:left w:val="single" w:color="auto" w:sz="4" w:space="0"/>
              <w:bottom w:val="single" w:color="auto" w:sz="4" w:space="0"/>
              <w:right w:val="single" w:color="auto" w:sz="4" w:space="0"/>
            </w:tcBorders>
          </w:tcPr>
          <w:p>
            <w:pPr>
              <w:rPr>
                <w:rFonts w:ascii="宋体" w:hAnsi="宋体" w:cs="宋体"/>
                <w:highlight w:val="none"/>
              </w:rPr>
            </w:pPr>
          </w:p>
        </w:tc>
        <w:tc>
          <w:tcPr>
            <w:tcW w:w="1597" w:type="dxa"/>
            <w:tcBorders>
              <w:top w:val="single" w:color="auto" w:sz="4" w:space="0"/>
              <w:left w:val="single" w:color="auto" w:sz="4" w:space="0"/>
              <w:bottom w:val="single" w:color="auto" w:sz="4" w:space="0"/>
              <w:right w:val="single" w:color="auto" w:sz="4" w:space="0"/>
            </w:tcBorders>
          </w:tcPr>
          <w:p>
            <w:pPr>
              <w:rPr>
                <w:rFonts w:ascii="宋体" w:hAnsi="宋体" w:cs="宋体"/>
                <w:highlight w:val="none"/>
              </w:rPr>
            </w:pPr>
          </w:p>
        </w:tc>
        <w:tc>
          <w:tcPr>
            <w:tcW w:w="1950" w:type="dxa"/>
            <w:tcBorders>
              <w:top w:val="single" w:color="auto" w:sz="4" w:space="0"/>
              <w:left w:val="single" w:color="auto" w:sz="4" w:space="0"/>
              <w:bottom w:val="single" w:color="auto" w:sz="4" w:space="0"/>
              <w:right w:val="single" w:color="auto" w:sz="4" w:space="0"/>
            </w:tcBorders>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39" w:type="dxa"/>
            <w:tcBorders>
              <w:top w:val="single" w:color="auto" w:sz="4" w:space="0"/>
              <w:left w:val="single" w:color="auto" w:sz="4" w:space="0"/>
              <w:bottom w:val="single" w:color="auto" w:sz="4" w:space="0"/>
              <w:right w:val="single" w:color="auto" w:sz="4" w:space="0"/>
            </w:tcBorders>
          </w:tcPr>
          <w:p>
            <w:pPr>
              <w:jc w:val="center"/>
              <w:rPr>
                <w:rFonts w:ascii="宋体" w:hAnsi="宋体" w:cs="宋体"/>
                <w:highlight w:val="none"/>
              </w:rPr>
            </w:pPr>
            <w:r>
              <w:rPr>
                <w:rFonts w:hint="eastAsia" w:ascii="宋体" w:hAnsi="宋体" w:cs="宋体"/>
                <w:highlight w:val="none"/>
              </w:rPr>
              <w:t>…</w:t>
            </w:r>
          </w:p>
        </w:tc>
        <w:tc>
          <w:tcPr>
            <w:tcW w:w="4228" w:type="dxa"/>
            <w:tcBorders>
              <w:top w:val="single" w:color="auto" w:sz="4" w:space="0"/>
              <w:left w:val="single" w:color="auto" w:sz="4" w:space="0"/>
              <w:bottom w:val="single" w:color="auto" w:sz="4" w:space="0"/>
              <w:right w:val="single" w:color="auto" w:sz="4" w:space="0"/>
            </w:tcBorders>
          </w:tcPr>
          <w:p>
            <w:pPr>
              <w:rPr>
                <w:rFonts w:ascii="宋体" w:hAnsi="宋体" w:cs="宋体"/>
                <w:highlight w:val="none"/>
              </w:rPr>
            </w:pPr>
          </w:p>
        </w:tc>
        <w:tc>
          <w:tcPr>
            <w:tcW w:w="1597" w:type="dxa"/>
            <w:tcBorders>
              <w:top w:val="single" w:color="auto" w:sz="4" w:space="0"/>
              <w:left w:val="single" w:color="auto" w:sz="4" w:space="0"/>
              <w:bottom w:val="single" w:color="auto" w:sz="4" w:space="0"/>
              <w:right w:val="single" w:color="auto" w:sz="4" w:space="0"/>
            </w:tcBorders>
          </w:tcPr>
          <w:p>
            <w:pPr>
              <w:rPr>
                <w:rFonts w:ascii="宋体" w:hAnsi="宋体" w:cs="宋体"/>
                <w:highlight w:val="none"/>
              </w:rPr>
            </w:pPr>
          </w:p>
        </w:tc>
        <w:tc>
          <w:tcPr>
            <w:tcW w:w="1950" w:type="dxa"/>
            <w:tcBorders>
              <w:top w:val="single" w:color="auto" w:sz="4" w:space="0"/>
              <w:left w:val="single" w:color="auto" w:sz="4" w:space="0"/>
              <w:bottom w:val="single" w:color="auto" w:sz="4" w:space="0"/>
              <w:right w:val="single" w:color="auto" w:sz="4" w:space="0"/>
            </w:tcBorders>
          </w:tcPr>
          <w:p>
            <w:pPr>
              <w:rPr>
                <w:rFonts w:ascii="宋体" w:hAnsi="宋体" w:cs="宋体"/>
                <w:highlight w:val="none"/>
              </w:rPr>
            </w:pPr>
          </w:p>
        </w:tc>
      </w:tr>
    </w:tbl>
    <w:p>
      <w:pPr>
        <w:spacing w:line="360" w:lineRule="auto"/>
        <w:rPr>
          <w:rFonts w:ascii="宋体" w:hAnsi="宋体" w:cs="宋体"/>
          <w:szCs w:val="21"/>
          <w:highlight w:val="none"/>
          <w:u w:val="single"/>
        </w:rPr>
      </w:pPr>
    </w:p>
    <w:p>
      <w:pPr>
        <w:rPr>
          <w:rFonts w:ascii="宋体" w:hAnsi="宋体" w:cs="宋体"/>
          <w:szCs w:val="21"/>
          <w:highlight w:val="none"/>
          <w:u w:val="single"/>
        </w:rPr>
      </w:pPr>
      <w:r>
        <w:rPr>
          <w:rFonts w:hint="eastAsia" w:ascii="宋体" w:hAnsi="宋体" w:cs="宋体"/>
          <w:szCs w:val="21"/>
          <w:highlight w:val="none"/>
          <w:u w:val="single"/>
        </w:rPr>
        <w:br w:type="page"/>
      </w:r>
    </w:p>
    <w:p>
      <w:pPr>
        <w:pStyle w:val="6"/>
        <w:tabs>
          <w:tab w:val="left" w:pos="851"/>
        </w:tabs>
        <w:ind w:firstLine="420" w:firstLineChars="200"/>
        <w:rPr>
          <w:rFonts w:hAnsi="宋体" w:cs="宋体"/>
          <w:color w:val="auto"/>
          <w:highlight w:val="none"/>
        </w:rPr>
      </w:pPr>
      <w:r>
        <w:rPr>
          <w:rFonts w:hint="eastAsia" w:hAnsi="宋体" w:cs="宋体"/>
          <w:color w:val="auto"/>
          <w:highlight w:val="none"/>
        </w:rPr>
        <w:t>3.8 声明函</w:t>
      </w:r>
    </w:p>
    <w:p>
      <w:pPr>
        <w:pStyle w:val="6"/>
        <w:tabs>
          <w:tab w:val="left" w:pos="851"/>
        </w:tabs>
        <w:jc w:val="center"/>
        <w:rPr>
          <w:rFonts w:hAnsi="宋体" w:cs="宋体"/>
          <w:b/>
          <w:bCs/>
          <w:color w:val="auto"/>
          <w:sz w:val="24"/>
          <w:szCs w:val="24"/>
          <w:highlight w:val="none"/>
        </w:rPr>
      </w:pPr>
      <w:r>
        <w:rPr>
          <w:rFonts w:hint="eastAsia" w:hAnsi="宋体" w:cs="宋体"/>
          <w:b/>
          <w:bCs/>
          <w:color w:val="auto"/>
          <w:sz w:val="24"/>
          <w:szCs w:val="24"/>
          <w:highlight w:val="none"/>
        </w:rPr>
        <w:t>声 明 函</w:t>
      </w:r>
    </w:p>
    <w:p>
      <w:pPr>
        <w:pStyle w:val="6"/>
        <w:tabs>
          <w:tab w:val="left" w:pos="851"/>
        </w:tabs>
        <w:rPr>
          <w:rFonts w:hAnsi="宋体" w:cs="宋体"/>
          <w:color w:val="auto"/>
          <w:highlight w:val="none"/>
        </w:rPr>
      </w:pPr>
    </w:p>
    <w:p>
      <w:pPr>
        <w:pStyle w:val="6"/>
        <w:tabs>
          <w:tab w:val="left" w:pos="851"/>
        </w:tabs>
        <w:rPr>
          <w:rFonts w:hAnsi="宋体" w:cs="宋体"/>
          <w:color w:val="auto"/>
          <w:highlight w:val="none"/>
        </w:rPr>
      </w:pPr>
      <w:r>
        <w:rPr>
          <w:rFonts w:hint="eastAsia" w:hAnsi="宋体" w:cs="宋体"/>
          <w:color w:val="auto"/>
          <w:highlight w:val="none"/>
        </w:rPr>
        <w:t>致：广东省机电设备招标有限公司</w:t>
      </w:r>
    </w:p>
    <w:p>
      <w:pPr>
        <w:pStyle w:val="6"/>
        <w:tabs>
          <w:tab w:val="left" w:pos="851"/>
        </w:tabs>
        <w:ind w:firstLine="420" w:firstLineChars="200"/>
        <w:rPr>
          <w:rFonts w:hAnsi="宋体" w:cs="宋体"/>
          <w:color w:val="auto"/>
          <w:highlight w:val="none"/>
        </w:rPr>
      </w:pPr>
      <w:r>
        <w:rPr>
          <w:rFonts w:hint="eastAsia" w:hAnsi="宋体" w:cs="宋体"/>
          <w:color w:val="auto"/>
          <w:highlight w:val="none"/>
        </w:rPr>
        <w:t>我单位参与贵司代理的</w:t>
      </w:r>
      <w:r>
        <w:rPr>
          <w:rFonts w:hint="eastAsia" w:hAnsi="宋体" w:cs="宋体"/>
          <w:highlight w:val="none"/>
          <w:u w:val="single"/>
        </w:rPr>
        <w:t xml:space="preserve">                        项目</w:t>
      </w:r>
      <w:r>
        <w:rPr>
          <w:rFonts w:hint="eastAsia" w:hAnsi="宋体" w:cs="宋体"/>
          <w:highlight w:val="none"/>
        </w:rPr>
        <w:t>[项目编号：</w:t>
      </w:r>
      <w:r>
        <w:rPr>
          <w:rFonts w:hint="eastAsia" w:hAnsi="宋体" w:cs="宋体"/>
          <w:highlight w:val="none"/>
          <w:u w:val="single"/>
        </w:rPr>
        <w:t xml:space="preserve">               </w:t>
      </w:r>
      <w:r>
        <w:rPr>
          <w:rFonts w:hint="eastAsia" w:hAnsi="宋体" w:cs="宋体"/>
          <w:highlight w:val="none"/>
        </w:rPr>
        <w:t>]的</w:t>
      </w:r>
      <w:r>
        <w:rPr>
          <w:rFonts w:hint="eastAsia" w:hAnsi="宋体" w:cs="宋体"/>
          <w:color w:val="auto"/>
          <w:highlight w:val="none"/>
          <w:lang w:val="en-US" w:eastAsia="zh-CN"/>
        </w:rPr>
        <w:t>投标</w:t>
      </w:r>
      <w:r>
        <w:rPr>
          <w:rFonts w:hint="eastAsia" w:hAnsi="宋体" w:cs="宋体"/>
          <w:color w:val="auto"/>
          <w:highlight w:val="none"/>
        </w:rPr>
        <w:t>，在此郑重声明：</w:t>
      </w:r>
    </w:p>
    <w:p>
      <w:pPr>
        <w:pStyle w:val="6"/>
        <w:tabs>
          <w:tab w:val="left" w:pos="851"/>
        </w:tabs>
        <w:ind w:firstLine="420" w:firstLineChars="200"/>
        <w:rPr>
          <w:rFonts w:hAnsi="宋体" w:cs="宋体"/>
          <w:color w:val="auto"/>
          <w:highlight w:val="none"/>
        </w:rPr>
      </w:pPr>
      <w:r>
        <w:rPr>
          <w:rFonts w:hint="eastAsia" w:hAnsi="宋体" w:cs="宋体"/>
          <w:color w:val="auto"/>
          <w:highlight w:val="none"/>
        </w:rPr>
        <w:t>（1）本单位参加采购活动前三年内，在经营活动中没有重大违法记录。</w:t>
      </w:r>
    </w:p>
    <w:p>
      <w:pPr>
        <w:pStyle w:val="6"/>
        <w:tabs>
          <w:tab w:val="left" w:pos="851"/>
        </w:tabs>
        <w:ind w:firstLine="420" w:firstLineChars="200"/>
        <w:rPr>
          <w:rFonts w:hAnsi="宋体" w:cs="宋体"/>
          <w:color w:val="auto"/>
          <w:highlight w:val="none"/>
        </w:rPr>
      </w:pPr>
      <w:r>
        <w:rPr>
          <w:rFonts w:hint="eastAsia" w:hAnsi="宋体" w:cs="宋体"/>
          <w:color w:val="auto"/>
          <w:highlight w:val="none"/>
        </w:rPr>
        <w:t>（2）本单位符合法律、行政法规规定的其他条件。</w:t>
      </w:r>
    </w:p>
    <w:p>
      <w:pPr>
        <w:pStyle w:val="6"/>
        <w:tabs>
          <w:tab w:val="left" w:pos="851"/>
        </w:tabs>
        <w:ind w:firstLine="420" w:firstLineChars="200"/>
        <w:rPr>
          <w:rFonts w:hAnsi="宋体" w:cs="宋体"/>
          <w:color w:val="auto"/>
          <w:highlight w:val="none"/>
        </w:rPr>
      </w:pPr>
      <w:r>
        <w:rPr>
          <w:rFonts w:hint="eastAsia" w:hAnsi="宋体" w:cs="宋体"/>
          <w:color w:val="auto"/>
          <w:highlight w:val="none"/>
        </w:rPr>
        <w:t>（3）本单位未被列入“信用中国”网站(www.creditchina.gov.cn)“记录失信被执行人或重大税收违法案件当事人名单或政府采购严重违法失信行为”记录名单。</w:t>
      </w:r>
    </w:p>
    <w:p>
      <w:pPr>
        <w:pStyle w:val="6"/>
        <w:tabs>
          <w:tab w:val="left" w:pos="851"/>
        </w:tabs>
        <w:ind w:firstLine="420" w:firstLineChars="200"/>
        <w:rPr>
          <w:rFonts w:hAnsi="宋体" w:cs="宋体"/>
          <w:color w:val="auto"/>
          <w:highlight w:val="none"/>
        </w:rPr>
      </w:pPr>
      <w:r>
        <w:rPr>
          <w:rFonts w:hint="eastAsia" w:hAnsi="宋体" w:cs="宋体"/>
          <w:color w:val="auto"/>
          <w:highlight w:val="none"/>
        </w:rPr>
        <w:t>（4）本单位不存在以下情况：单位负责人为同一人或者存在控股、管理关系的不同供应商，参加</w:t>
      </w:r>
      <w:r>
        <w:rPr>
          <w:rFonts w:hint="eastAsia" w:hAnsi="宋体" w:cs="宋体"/>
          <w:highlight w:val="none"/>
          <w:lang w:val="zh-CN"/>
        </w:rPr>
        <w:t>同一合同项下的政府采购活动</w:t>
      </w:r>
      <w:r>
        <w:rPr>
          <w:rFonts w:hint="eastAsia" w:hAnsi="宋体" w:cs="宋体"/>
          <w:color w:val="auto"/>
          <w:highlight w:val="none"/>
        </w:rPr>
        <w:t>。</w:t>
      </w:r>
    </w:p>
    <w:p>
      <w:pPr>
        <w:pStyle w:val="6"/>
        <w:tabs>
          <w:tab w:val="left" w:pos="851"/>
        </w:tabs>
        <w:ind w:firstLine="420" w:firstLineChars="200"/>
        <w:rPr>
          <w:rFonts w:hAnsi="宋体" w:cs="宋体"/>
          <w:szCs w:val="21"/>
          <w:highlight w:val="none"/>
        </w:rPr>
      </w:pPr>
      <w:r>
        <w:rPr>
          <w:rFonts w:hint="eastAsia" w:hAnsi="宋体" w:cs="宋体"/>
          <w:color w:val="auto"/>
          <w:highlight w:val="none"/>
        </w:rPr>
        <w:t>（5）根据《中华人民共和国政</w:t>
      </w:r>
      <w:r>
        <w:rPr>
          <w:rFonts w:hint="eastAsia" w:hAnsi="宋体" w:cs="宋体"/>
          <w:szCs w:val="21"/>
          <w:highlight w:val="none"/>
        </w:rPr>
        <w:t>府采购法实施条例》的规定，本单位未为本采购项目提供整体设计、规范编制等服务，未提供项目管理、监理、检测等服务。</w:t>
      </w:r>
    </w:p>
    <w:p>
      <w:pPr>
        <w:pStyle w:val="6"/>
        <w:tabs>
          <w:tab w:val="left" w:pos="851"/>
        </w:tabs>
        <w:ind w:firstLine="420" w:firstLineChars="200"/>
        <w:rPr>
          <w:rFonts w:hAnsi="宋体" w:cs="宋体"/>
          <w:szCs w:val="21"/>
          <w:highlight w:val="none"/>
        </w:rPr>
      </w:pPr>
      <w:r>
        <w:rPr>
          <w:rFonts w:hint="eastAsia" w:hAnsi="宋体" w:cs="宋体"/>
          <w:szCs w:val="21"/>
          <w:highlight w:val="none"/>
        </w:rPr>
        <w:t>我单位对此声明负全部法律责任。</w:t>
      </w:r>
    </w:p>
    <w:p>
      <w:pPr>
        <w:pStyle w:val="6"/>
        <w:tabs>
          <w:tab w:val="left" w:pos="851"/>
        </w:tabs>
        <w:ind w:firstLine="420" w:firstLineChars="200"/>
        <w:rPr>
          <w:rFonts w:hAnsi="宋体" w:cs="宋体"/>
          <w:szCs w:val="21"/>
          <w:highlight w:val="none"/>
        </w:rPr>
      </w:pPr>
      <w:r>
        <w:rPr>
          <w:rFonts w:hint="eastAsia" w:hAnsi="宋体" w:cs="宋体"/>
          <w:szCs w:val="21"/>
          <w:highlight w:val="none"/>
        </w:rPr>
        <w:t>特此声明。</w:t>
      </w:r>
    </w:p>
    <w:p>
      <w:pPr>
        <w:pStyle w:val="6"/>
        <w:tabs>
          <w:tab w:val="left" w:pos="851"/>
        </w:tabs>
        <w:ind w:firstLine="420" w:firstLineChars="200"/>
        <w:rPr>
          <w:rFonts w:hAnsi="宋体" w:cs="宋体"/>
          <w:szCs w:val="21"/>
          <w:highlight w:val="none"/>
        </w:rPr>
      </w:pPr>
    </w:p>
    <w:p>
      <w:pPr>
        <w:pStyle w:val="6"/>
        <w:tabs>
          <w:tab w:val="left" w:pos="851"/>
        </w:tabs>
        <w:rPr>
          <w:rFonts w:hAnsi="宋体" w:cs="宋体"/>
          <w:color w:val="auto"/>
          <w:highlight w:val="none"/>
        </w:rPr>
      </w:pPr>
      <w:r>
        <w:rPr>
          <w:rFonts w:hint="eastAsia" w:hAnsi="宋体" w:cs="宋体"/>
          <w:color w:val="auto"/>
          <w:highlight w:val="none"/>
        </w:rPr>
        <w:t>供应商（单位公章）：</w:t>
      </w:r>
    </w:p>
    <w:p>
      <w:pPr>
        <w:pStyle w:val="6"/>
        <w:tabs>
          <w:tab w:val="left" w:pos="851"/>
        </w:tabs>
        <w:rPr>
          <w:highlight w:val="none"/>
        </w:rPr>
      </w:pPr>
      <w:r>
        <w:rPr>
          <w:rFonts w:hint="eastAsia" w:hAnsi="宋体"/>
          <w:highlight w:val="none"/>
        </w:rPr>
        <w:t>法定代表人或其授权代表（签字）：</w:t>
      </w:r>
    </w:p>
    <w:p>
      <w:pPr>
        <w:pStyle w:val="6"/>
        <w:tabs>
          <w:tab w:val="left" w:pos="851"/>
        </w:tabs>
        <w:rPr>
          <w:rFonts w:hAnsi="宋体" w:cs="宋体"/>
          <w:color w:val="auto"/>
          <w:highlight w:val="none"/>
        </w:rPr>
      </w:pPr>
      <w:r>
        <w:rPr>
          <w:rFonts w:hint="eastAsia" w:hAnsi="宋体" w:cs="宋体"/>
          <w:color w:val="auto"/>
          <w:highlight w:val="none"/>
        </w:rPr>
        <w:t>日期：    年   月   日</w:t>
      </w:r>
    </w:p>
    <w:p>
      <w:pPr>
        <w:pStyle w:val="4"/>
        <w:spacing w:line="360" w:lineRule="auto"/>
        <w:ind w:firstLine="0"/>
        <w:rPr>
          <w:rFonts w:hAnsi="宋体" w:cs="宋体"/>
          <w:highlight w:val="none"/>
        </w:rPr>
      </w:pPr>
    </w:p>
    <w:p>
      <w:pPr>
        <w:pStyle w:val="4"/>
        <w:spacing w:line="360" w:lineRule="auto"/>
        <w:ind w:firstLine="0"/>
        <w:rPr>
          <w:rFonts w:ascii="宋体" w:hAnsi="宋体" w:cs="宋体"/>
          <w:highlight w:val="none"/>
        </w:rPr>
      </w:pPr>
    </w:p>
    <w:p>
      <w:pPr>
        <w:pStyle w:val="4"/>
        <w:spacing w:line="360" w:lineRule="auto"/>
        <w:ind w:firstLineChars="200"/>
        <w:rPr>
          <w:rFonts w:ascii="宋体" w:hAnsi="宋体" w:cs="宋体"/>
          <w:highlight w:val="none"/>
        </w:rPr>
      </w:pPr>
      <w:r>
        <w:rPr>
          <w:rFonts w:hint="eastAsia" w:ascii="宋体" w:hAnsi="宋体" w:cs="宋体"/>
          <w:highlight w:val="none"/>
        </w:rPr>
        <w:t>3.9供应商资格要求中要求提交的其他资质证明文件。</w:t>
      </w:r>
    </w:p>
    <w:tbl>
      <w:tblPr>
        <w:tblStyle w:val="46"/>
        <w:tblW w:w="8781" w:type="dxa"/>
        <w:jc w:val="center"/>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751"/>
        <w:gridCol w:w="6485"/>
        <w:gridCol w:w="1545"/>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308" w:hRule="atLeast"/>
          <w:tblHeader/>
          <w:jc w:val="center"/>
        </w:trPr>
        <w:tc>
          <w:tcPr>
            <w:tcW w:w="751"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b/>
                <w:bCs/>
                <w:highlight w:val="none"/>
              </w:rPr>
            </w:pPr>
            <w:r>
              <w:rPr>
                <w:rFonts w:hint="eastAsia" w:ascii="宋体" w:hAnsi="宋体" w:cs="宋体"/>
                <w:b/>
                <w:bCs/>
                <w:highlight w:val="none"/>
              </w:rPr>
              <w:t>序号</w:t>
            </w:r>
          </w:p>
        </w:tc>
        <w:tc>
          <w:tcPr>
            <w:tcW w:w="6485"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b/>
                <w:bCs/>
                <w:highlight w:val="none"/>
              </w:rPr>
            </w:pPr>
            <w:r>
              <w:rPr>
                <w:rStyle w:val="49"/>
                <w:rFonts w:hint="eastAsia" w:ascii="宋体" w:hAnsi="宋体" w:cs="宋体"/>
                <w:highlight w:val="none"/>
              </w:rPr>
              <w:t>资格性审查要求</w:t>
            </w:r>
          </w:p>
        </w:tc>
        <w:tc>
          <w:tcPr>
            <w:tcW w:w="1545"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b/>
                <w:bCs/>
                <w:highlight w:val="none"/>
              </w:rPr>
            </w:pPr>
            <w:r>
              <w:rPr>
                <w:rStyle w:val="49"/>
                <w:rFonts w:hint="eastAsia" w:ascii="宋体" w:hAnsi="宋体" w:cs="宋体"/>
                <w:highlight w:val="none"/>
              </w:rPr>
              <w:t>证明文件</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404" w:hRule="atLeast"/>
          <w:jc w:val="center"/>
        </w:trPr>
        <w:tc>
          <w:tcPr>
            <w:tcW w:w="751" w:type="dxa"/>
            <w:tcBorders>
              <w:top w:val="outset" w:color="111111" w:sz="6" w:space="0"/>
              <w:left w:val="outset" w:color="111111" w:sz="6" w:space="0"/>
              <w:bottom w:val="outset" w:color="111111" w:sz="6" w:space="0"/>
              <w:right w:val="outset" w:color="111111" w:sz="6" w:space="0"/>
            </w:tcBorders>
            <w:vAlign w:val="center"/>
          </w:tcPr>
          <w:p>
            <w:pPr>
              <w:pStyle w:val="41"/>
              <w:jc w:val="center"/>
              <w:rPr>
                <w:sz w:val="21"/>
                <w:szCs w:val="21"/>
                <w:highlight w:val="none"/>
              </w:rPr>
            </w:pPr>
            <w:r>
              <w:rPr>
                <w:rFonts w:hint="eastAsia"/>
                <w:sz w:val="21"/>
                <w:szCs w:val="21"/>
                <w:highlight w:val="none"/>
              </w:rPr>
              <w:t>1</w:t>
            </w:r>
          </w:p>
        </w:tc>
        <w:tc>
          <w:tcPr>
            <w:tcW w:w="6485"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highlight w:val="none"/>
              </w:rPr>
            </w:pPr>
            <w:r>
              <w:rPr>
                <w:rFonts w:hint="eastAsia" w:ascii="宋体" w:hAnsi="宋体" w:cs="宋体"/>
                <w:highlight w:val="none"/>
              </w:rPr>
              <w:t>供应商所投的电商平台必须具有ICP备案或ICP经营许可证（需提供相关证明材料），确保学校数据和业务安全。</w:t>
            </w:r>
          </w:p>
        </w:tc>
        <w:tc>
          <w:tcPr>
            <w:tcW w:w="1545"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highlight w:val="none"/>
              </w:rPr>
            </w:pPr>
            <w:r>
              <w:rPr>
                <w:rFonts w:hint="eastAsia" w:ascii="宋体" w:hAnsi="宋体" w:cs="宋体"/>
                <w:highlight w:val="none"/>
              </w:rPr>
              <w:t>见响应文件第（ ）页</w:t>
            </w:r>
          </w:p>
        </w:tc>
      </w:tr>
    </w:tbl>
    <w:p>
      <w:pPr>
        <w:spacing w:line="360" w:lineRule="auto"/>
        <w:rPr>
          <w:rFonts w:ascii="宋体" w:hAnsi="宋体" w:cs="宋体"/>
          <w:szCs w:val="21"/>
          <w:highlight w:val="none"/>
          <w:u w:val="single"/>
        </w:rPr>
      </w:pPr>
    </w:p>
    <w:p>
      <w:pPr>
        <w:pStyle w:val="3"/>
        <w:keepLines w:val="0"/>
        <w:widowControl w:val="0"/>
        <w:tabs>
          <w:tab w:val="left" w:pos="851"/>
        </w:tabs>
        <w:adjustRightInd/>
        <w:snapToGrid/>
        <w:jc w:val="both"/>
        <w:rPr>
          <w:rFonts w:hAnsi="宋体" w:cs="宋体"/>
          <w:b/>
          <w:sz w:val="21"/>
          <w:szCs w:val="21"/>
          <w:highlight w:val="none"/>
        </w:rPr>
      </w:pPr>
      <w:r>
        <w:rPr>
          <w:rFonts w:hint="eastAsia" w:hAnsi="宋体" w:cs="宋体"/>
          <w:b/>
          <w:szCs w:val="21"/>
          <w:highlight w:val="none"/>
        </w:rPr>
        <w:br w:type="page"/>
      </w:r>
      <w:bookmarkStart w:id="2281" w:name="_Toc535849053"/>
      <w:bookmarkStart w:id="2282" w:name="_Toc17091"/>
      <w:bookmarkStart w:id="2283" w:name="_Toc18296"/>
      <w:bookmarkStart w:id="2284" w:name="_Toc20646"/>
      <w:bookmarkStart w:id="2285" w:name="_Toc26659"/>
      <w:bookmarkStart w:id="2286" w:name="_Toc13155"/>
      <w:bookmarkStart w:id="2287" w:name="_Toc2227"/>
      <w:r>
        <w:rPr>
          <w:rFonts w:hint="eastAsia" w:hAnsi="宋体" w:cs="宋体"/>
          <w:b/>
          <w:sz w:val="21"/>
          <w:szCs w:val="21"/>
          <w:highlight w:val="none"/>
        </w:rPr>
        <w:t>4.其他资质证明文件</w:t>
      </w:r>
      <w:bookmarkEnd w:id="2281"/>
      <w:bookmarkEnd w:id="2282"/>
      <w:bookmarkEnd w:id="2283"/>
      <w:bookmarkEnd w:id="2284"/>
      <w:bookmarkEnd w:id="2285"/>
      <w:bookmarkEnd w:id="2286"/>
      <w:bookmarkEnd w:id="2287"/>
    </w:p>
    <w:p>
      <w:pPr>
        <w:pStyle w:val="6"/>
        <w:tabs>
          <w:tab w:val="left" w:pos="851"/>
        </w:tabs>
        <w:rPr>
          <w:rFonts w:hAnsi="宋体" w:cs="宋体"/>
          <w:color w:val="auto"/>
          <w:szCs w:val="21"/>
          <w:highlight w:val="none"/>
        </w:rPr>
      </w:pPr>
      <w:r>
        <w:rPr>
          <w:rFonts w:hint="eastAsia" w:hAnsi="宋体" w:cs="宋体"/>
          <w:color w:val="auto"/>
          <w:szCs w:val="21"/>
          <w:highlight w:val="none"/>
        </w:rPr>
        <w:t xml:space="preserve">4.1 法定代表人证明书 </w:t>
      </w:r>
    </w:p>
    <w:p>
      <w:pPr>
        <w:spacing w:line="360" w:lineRule="auto"/>
        <w:rPr>
          <w:rFonts w:ascii="宋体" w:hAnsi="宋体" w:cs="宋体"/>
          <w:bCs/>
          <w:highlight w:val="none"/>
        </w:rPr>
      </w:pPr>
      <w:r>
        <w:rPr>
          <w:rFonts w:hint="eastAsia" w:ascii="宋体" w:hAnsi="宋体" w:cs="宋体"/>
          <w:bCs/>
          <w:highlight w:val="none"/>
        </w:rPr>
        <w:t>（供应商可使用下述格式，也可使用广东省工商行政管理局统一印制的法定代表人证明书格式）</w:t>
      </w:r>
    </w:p>
    <w:p>
      <w:pPr>
        <w:spacing w:line="360" w:lineRule="auto"/>
        <w:jc w:val="center"/>
        <w:rPr>
          <w:rFonts w:ascii="宋体" w:hAnsi="宋体" w:cs="宋体"/>
          <w:b/>
          <w:highlight w:val="none"/>
        </w:rPr>
      </w:pPr>
    </w:p>
    <w:p>
      <w:pPr>
        <w:spacing w:line="360" w:lineRule="auto"/>
        <w:jc w:val="center"/>
        <w:rPr>
          <w:rFonts w:ascii="宋体" w:hAnsi="宋体" w:cs="宋体"/>
          <w:b/>
          <w:highlight w:val="none"/>
        </w:rPr>
      </w:pPr>
      <w:r>
        <w:rPr>
          <w:rFonts w:hint="eastAsia" w:ascii="宋体" w:hAnsi="宋体" w:cs="宋体"/>
          <w:b/>
          <w:highlight w:val="none"/>
        </w:rPr>
        <w:t>法定代表人证明书</w:t>
      </w:r>
    </w:p>
    <w:p>
      <w:pPr>
        <w:spacing w:line="360" w:lineRule="auto"/>
        <w:rPr>
          <w:rFonts w:ascii="宋体" w:hAnsi="宋体" w:cs="宋体"/>
          <w:bCs/>
          <w:highlight w:val="none"/>
          <w:u w:val="single"/>
        </w:rPr>
      </w:pPr>
    </w:p>
    <w:p>
      <w:pPr>
        <w:spacing w:line="480" w:lineRule="auto"/>
        <w:rPr>
          <w:rFonts w:ascii="宋体" w:hAnsi="宋体" w:cs="宋体"/>
          <w:bCs/>
          <w:highlight w:val="none"/>
        </w:rPr>
      </w:pPr>
      <w:r>
        <w:rPr>
          <w:rFonts w:hint="eastAsia" w:ascii="宋体" w:hAnsi="宋体" w:cs="宋体"/>
          <w:bCs/>
          <w:highlight w:val="none"/>
        </w:rPr>
        <w:t>_________现任我单位</w:t>
      </w:r>
      <w:r>
        <w:rPr>
          <w:rFonts w:hint="eastAsia" w:ascii="宋体" w:hAnsi="宋体" w:cs="宋体"/>
          <w:bCs/>
          <w:highlight w:val="none"/>
          <w:u w:val="single"/>
        </w:rPr>
        <w:t xml:space="preserve">           </w:t>
      </w:r>
      <w:r>
        <w:rPr>
          <w:rFonts w:hint="eastAsia" w:ascii="宋体" w:hAnsi="宋体" w:cs="宋体"/>
          <w:bCs/>
          <w:highlight w:val="none"/>
        </w:rPr>
        <w:t>职务，为法定代表人，特此证明。</w:t>
      </w:r>
    </w:p>
    <w:p>
      <w:pPr>
        <w:spacing w:line="480" w:lineRule="auto"/>
        <w:rPr>
          <w:rFonts w:ascii="宋体" w:hAnsi="宋体" w:cs="宋体"/>
          <w:bCs/>
          <w:highlight w:val="none"/>
          <w:u w:val="single"/>
        </w:rPr>
      </w:pPr>
      <w:r>
        <w:rPr>
          <w:rFonts w:hint="eastAsia" w:ascii="宋体" w:hAnsi="宋体" w:cs="宋体"/>
          <w:bCs/>
          <w:highlight w:val="none"/>
        </w:rPr>
        <w:t>有效期限至：</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日</w:t>
      </w:r>
    </w:p>
    <w:p>
      <w:pPr>
        <w:spacing w:line="480" w:lineRule="auto"/>
        <w:rPr>
          <w:rFonts w:ascii="宋体" w:hAnsi="宋体" w:cs="宋体"/>
          <w:bCs/>
          <w:highlight w:val="none"/>
        </w:rPr>
      </w:pPr>
      <w:r>
        <w:rPr>
          <w:rFonts w:hint="eastAsia" w:ascii="宋体" w:hAnsi="宋体" w:cs="宋体"/>
          <w:bCs/>
          <w:highlight w:val="none"/>
        </w:rPr>
        <w:t>附：代表人性别：</w:t>
      </w:r>
      <w:r>
        <w:rPr>
          <w:rFonts w:hint="eastAsia" w:ascii="宋体" w:hAnsi="宋体" w:cs="宋体"/>
          <w:bCs/>
          <w:highlight w:val="none"/>
          <w:u w:val="single"/>
        </w:rPr>
        <w:t xml:space="preserve">       </w:t>
      </w:r>
      <w:r>
        <w:rPr>
          <w:rFonts w:hint="eastAsia" w:ascii="宋体" w:hAnsi="宋体" w:cs="宋体"/>
          <w:bCs/>
          <w:highlight w:val="none"/>
        </w:rPr>
        <w:t>年龄：</w:t>
      </w:r>
      <w:r>
        <w:rPr>
          <w:rFonts w:hint="eastAsia" w:ascii="宋体" w:hAnsi="宋体" w:cs="宋体"/>
          <w:bCs/>
          <w:highlight w:val="none"/>
          <w:u w:val="single"/>
        </w:rPr>
        <w:t xml:space="preserve">      </w:t>
      </w:r>
      <w:r>
        <w:rPr>
          <w:rFonts w:hint="eastAsia" w:ascii="宋体" w:hAnsi="宋体" w:cs="宋体"/>
          <w:bCs/>
          <w:highlight w:val="none"/>
        </w:rPr>
        <w:t>身份证号码：</w:t>
      </w:r>
      <w:r>
        <w:rPr>
          <w:rFonts w:hint="eastAsia" w:ascii="宋体" w:hAnsi="宋体" w:cs="宋体"/>
          <w:bCs/>
          <w:highlight w:val="none"/>
          <w:u w:val="single"/>
        </w:rPr>
        <w:t xml:space="preserve">                           。</w:t>
      </w:r>
    </w:p>
    <w:p>
      <w:pPr>
        <w:spacing w:line="480" w:lineRule="auto"/>
        <w:rPr>
          <w:rFonts w:ascii="宋体" w:hAnsi="宋体" w:cs="宋体"/>
          <w:bCs/>
          <w:highlight w:val="none"/>
        </w:rPr>
      </w:pPr>
      <w:r>
        <w:rPr>
          <w:rFonts w:hint="eastAsia" w:ascii="宋体" w:hAnsi="宋体" w:cs="宋体"/>
          <w:bCs/>
          <w:highlight w:val="none"/>
        </w:rPr>
        <w:t>注册号码：</w:t>
      </w:r>
      <w:r>
        <w:rPr>
          <w:rFonts w:hint="eastAsia" w:ascii="宋体" w:hAnsi="宋体" w:cs="宋体"/>
          <w:bCs/>
          <w:highlight w:val="none"/>
          <w:u w:val="single"/>
        </w:rPr>
        <w:t xml:space="preserve">                              </w:t>
      </w:r>
      <w:r>
        <w:rPr>
          <w:rFonts w:hint="eastAsia" w:ascii="宋体" w:hAnsi="宋体" w:cs="宋体"/>
          <w:bCs/>
          <w:highlight w:val="none"/>
        </w:rPr>
        <w:t xml:space="preserve"> 企业类型：__________________________________</w:t>
      </w:r>
    </w:p>
    <w:p>
      <w:pPr>
        <w:spacing w:line="480" w:lineRule="auto"/>
        <w:rPr>
          <w:rFonts w:ascii="宋体" w:hAnsi="宋体" w:cs="宋体"/>
          <w:b/>
          <w:highlight w:val="none"/>
          <w:u w:val="single"/>
        </w:rPr>
      </w:pPr>
      <w:r>
        <w:rPr>
          <w:rFonts w:hint="eastAsia" w:ascii="宋体" w:hAnsi="宋体" w:cs="宋体"/>
          <w:bCs/>
          <w:highlight w:val="none"/>
        </w:rPr>
        <w:t>经营范围：</w:t>
      </w:r>
      <w:r>
        <w:rPr>
          <w:rFonts w:hint="eastAsia" w:ascii="宋体" w:hAnsi="宋体" w:cs="宋体"/>
          <w:bCs/>
          <w:highlight w:val="none"/>
          <w:u w:val="single"/>
        </w:rPr>
        <w:t xml:space="preserve">                                                                        </w:t>
      </w:r>
      <w:r>
        <w:rPr>
          <w:rFonts w:hint="eastAsia" w:ascii="宋体" w:hAnsi="宋体" w:cs="宋体"/>
          <w:highlight w:val="none"/>
        </w:rPr>
        <w:t>。</w:t>
      </w:r>
    </w:p>
    <w:p>
      <w:pPr>
        <w:spacing w:line="360" w:lineRule="auto"/>
        <w:rPr>
          <w:rFonts w:ascii="宋体" w:hAnsi="宋体" w:cs="宋体"/>
          <w:highlight w:val="none"/>
        </w:rPr>
      </w:pPr>
    </w:p>
    <w:p>
      <w:pPr>
        <w:spacing w:line="360" w:lineRule="auto"/>
        <w:rPr>
          <w:rFonts w:ascii="宋体" w:hAnsi="宋体" w:cs="宋体"/>
          <w:b/>
          <w:highlight w:val="none"/>
        </w:rPr>
      </w:pPr>
      <w:r>
        <w:rPr>
          <w:rFonts w:ascii="宋体" w:hAnsi="宋体" w:cs="宋体"/>
          <w:highlight w:val="none"/>
        </w:rPr>
        <mc:AlternateContent>
          <mc:Choice Requires="wps">
            <w:drawing>
              <wp:anchor distT="0" distB="0" distL="114300" distR="114300" simplePos="0" relativeHeight="251662336" behindDoc="0" locked="0" layoutInCell="1" allowOverlap="1">
                <wp:simplePos x="0" y="0"/>
                <wp:positionH relativeFrom="column">
                  <wp:posOffset>19685</wp:posOffset>
                </wp:positionH>
                <wp:positionV relativeFrom="paragraph">
                  <wp:posOffset>166370</wp:posOffset>
                </wp:positionV>
                <wp:extent cx="2844800" cy="1936750"/>
                <wp:effectExtent l="4445" t="4445" r="8255" b="20955"/>
                <wp:wrapNone/>
                <wp:docPr id="5" name="自选图形 7"/>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r>
                              <w:rPr>
                                <w:rFonts w:hint="eastAsia"/>
                                <w:b/>
                              </w:rPr>
                              <w:t>法定代表人身份证复印件（正面）粘贴处</w:t>
                            </w:r>
                          </w:p>
                        </w:txbxContent>
                      </wps:txbx>
                      <wps:bodyPr wrap="square" upright="1"/>
                    </wps:wsp>
                  </a:graphicData>
                </a:graphic>
              </wp:anchor>
            </w:drawing>
          </mc:Choice>
          <mc:Fallback>
            <w:pict>
              <v:roundrect id="自选图形 7" o:spid="_x0000_s1026" o:spt="2" style="position:absolute;left:0pt;margin-left:1.55pt;margin-top:13.1pt;height:152.5pt;width:224pt;z-index:251662336;mso-width-relative:page;mso-height-relative:page;" fillcolor="#FFFFFF" filled="t" stroked="t" coordsize="21600,21600" arcsize="0.166666666666667" o:gfxdata="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2dLdtQAAAAIAQAADwAA&#10;AAAAAAABACAAAAAiAAAAZHJzL2Rvd25yZXYueG1sUEsBAhQAFAAAAAgAh07iQKR1cNcaAgAAJQQA&#10;AA4AAAAAAAAAAQAgAAAAIwEAAGRycy9lMm9Eb2MueG1sUEsFBgAAAAAGAAYAWQEAAK8FAAAAAA==&#10;">
                <v:fill on="t" focussize="0,0"/>
                <v:stroke color="#000000" joinstyle="round"/>
                <v:imagedata o:title=""/>
                <o:lock v:ext="edit" aspectratio="f"/>
                <v:textbox>
                  <w:txbxContent>
                    <w:p>
                      <w:r>
                        <w:rPr>
                          <w:rFonts w:hint="eastAsia"/>
                          <w:b/>
                        </w:rPr>
                        <w:t>法定代表人身份证复印件（正面）粘贴处</w:t>
                      </w:r>
                    </w:p>
                  </w:txbxContent>
                </v:textbox>
              </v:roundrect>
            </w:pict>
          </mc:Fallback>
        </mc:AlternateContent>
      </w:r>
      <w:r>
        <w:rPr>
          <w:rFonts w:ascii="宋体" w:hAnsi="宋体" w:cs="宋体"/>
          <w:highlight w:val="none"/>
        </w:rPr>
        <mc:AlternateContent>
          <mc:Choice Requires="wps">
            <w:drawing>
              <wp:anchor distT="0" distB="0" distL="114300" distR="114300" simplePos="0" relativeHeight="251661312" behindDoc="0" locked="0" layoutInCell="1" allowOverlap="1">
                <wp:simplePos x="0" y="0"/>
                <wp:positionH relativeFrom="column">
                  <wp:posOffset>3029585</wp:posOffset>
                </wp:positionH>
                <wp:positionV relativeFrom="paragraph">
                  <wp:posOffset>153670</wp:posOffset>
                </wp:positionV>
                <wp:extent cx="2806700" cy="1917700"/>
                <wp:effectExtent l="4445" t="4445" r="8255" b="20955"/>
                <wp:wrapNone/>
                <wp:docPr id="4" name="自选图形 8"/>
                <wp:cNvGraphicFramePr/>
                <a:graphic xmlns:a="http://schemas.openxmlformats.org/drawingml/2006/main">
                  <a:graphicData uri="http://schemas.microsoft.com/office/word/2010/wordprocessingShape">
                    <wps:wsp>
                      <wps:cNvSpPr/>
                      <wps:spPr>
                        <a:xfrm>
                          <a:off x="0" y="0"/>
                          <a:ext cx="2806700" cy="191770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r>
                              <w:rPr>
                                <w:rFonts w:hint="eastAsia"/>
                                <w:b/>
                              </w:rPr>
                              <w:t>法定代表人身份证复印件（反面）粘贴处</w:t>
                            </w:r>
                          </w:p>
                        </w:txbxContent>
                      </wps:txbx>
                      <wps:bodyPr wrap="square" upright="1"/>
                    </wps:wsp>
                  </a:graphicData>
                </a:graphic>
              </wp:anchor>
            </w:drawing>
          </mc:Choice>
          <mc:Fallback>
            <w:pict>
              <v:roundrect id="自选图形 8" o:spid="_x0000_s1026" o:spt="2" style="position:absolute;left:0pt;margin-left:238.55pt;margin-top:12.1pt;height:151pt;width:221pt;z-index:251661312;mso-width-relative:page;mso-height-relative:page;" fillcolor="#FFFFFF" filled="t" stroked="t" coordsize="21600,21600" arcsize="0.166666666666667" o:gfxdata="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ksyd1tcAAAAKAQAADwAA&#10;AAAAAAABACAAAAAiAAAAZHJzL2Rvd25yZXYueG1sUEsBAhQAFAAAAAgAh07iQHdH8dcXAgAAJQQA&#10;AA4AAAAAAAAAAQAgAAAAJgEAAGRycy9lMm9Eb2MueG1sUEsFBgAAAAAGAAYAWQEAAK8FAAAAAA==&#10;">
                <v:fill on="t" focussize="0,0"/>
                <v:stroke color="#000000" joinstyle="round"/>
                <v:imagedata o:title=""/>
                <o:lock v:ext="edit" aspectratio="f"/>
                <v:textbox>
                  <w:txbxContent>
                    <w:p>
                      <w:r>
                        <w:rPr>
                          <w:rFonts w:hint="eastAsia"/>
                          <w:b/>
                        </w:rPr>
                        <w:t>法定代表人身份证复印件（反面）粘贴处</w:t>
                      </w:r>
                    </w:p>
                  </w:txbxContent>
                </v:textbox>
              </v:roundrect>
            </w:pict>
          </mc:Fallback>
        </mc:AlternateContent>
      </w:r>
      <w:r>
        <w:rPr>
          <w:rFonts w:hint="eastAsia" w:ascii="宋体" w:hAnsi="宋体" w:cs="宋体"/>
          <w:b/>
          <w:highlight w:val="none"/>
        </w:rPr>
        <w:t xml:space="preserve">                                                </w:t>
      </w:r>
    </w:p>
    <w:p>
      <w:pPr>
        <w:spacing w:line="360" w:lineRule="auto"/>
        <w:rPr>
          <w:rFonts w:ascii="宋体" w:hAnsi="宋体" w:cs="宋体"/>
          <w:b/>
          <w:highlight w:val="none"/>
        </w:rPr>
      </w:pPr>
    </w:p>
    <w:p>
      <w:pPr>
        <w:spacing w:line="360" w:lineRule="auto"/>
        <w:rPr>
          <w:rFonts w:ascii="宋体" w:hAnsi="宋体" w:cs="宋体"/>
          <w:b/>
          <w:highlight w:val="none"/>
        </w:rPr>
      </w:pPr>
    </w:p>
    <w:p>
      <w:pPr>
        <w:spacing w:line="360" w:lineRule="auto"/>
        <w:rPr>
          <w:rFonts w:ascii="宋体" w:hAnsi="宋体" w:cs="宋体"/>
          <w:highlight w:val="none"/>
        </w:rPr>
      </w:pPr>
    </w:p>
    <w:p>
      <w:pPr>
        <w:spacing w:line="360" w:lineRule="auto"/>
        <w:rPr>
          <w:rFonts w:ascii="宋体" w:hAnsi="宋体" w:cs="宋体"/>
          <w:highlight w:val="none"/>
        </w:rPr>
      </w:pPr>
    </w:p>
    <w:p>
      <w:pPr>
        <w:spacing w:line="360" w:lineRule="auto"/>
        <w:rPr>
          <w:rFonts w:ascii="宋体" w:hAnsi="宋体" w:cs="宋体"/>
          <w:highlight w:val="none"/>
        </w:rPr>
      </w:pPr>
    </w:p>
    <w:p>
      <w:pPr>
        <w:spacing w:line="360" w:lineRule="auto"/>
        <w:rPr>
          <w:rFonts w:ascii="宋体" w:hAnsi="宋体" w:cs="宋体"/>
          <w:highlight w:val="none"/>
        </w:rPr>
      </w:pPr>
    </w:p>
    <w:p>
      <w:pPr>
        <w:spacing w:line="360" w:lineRule="auto"/>
        <w:rPr>
          <w:rFonts w:ascii="宋体" w:hAnsi="宋体" w:cs="宋体"/>
          <w:highlight w:val="none"/>
        </w:rPr>
      </w:pPr>
    </w:p>
    <w:p>
      <w:pPr>
        <w:spacing w:line="360" w:lineRule="auto"/>
        <w:rPr>
          <w:rFonts w:ascii="宋体" w:hAnsi="宋体" w:cs="宋体"/>
          <w:highlight w:val="none"/>
        </w:rPr>
      </w:pPr>
    </w:p>
    <w:p>
      <w:pPr>
        <w:spacing w:line="360" w:lineRule="auto"/>
        <w:rPr>
          <w:rFonts w:ascii="宋体" w:hAnsi="宋体" w:cs="宋体"/>
          <w:highlight w:val="none"/>
        </w:rPr>
      </w:pPr>
    </w:p>
    <w:p>
      <w:pPr>
        <w:pStyle w:val="4"/>
        <w:rPr>
          <w:highlight w:val="none"/>
        </w:rPr>
      </w:pPr>
    </w:p>
    <w:p>
      <w:pPr>
        <w:spacing w:line="360" w:lineRule="auto"/>
        <w:rPr>
          <w:rFonts w:ascii="宋体" w:hAnsi="宋体" w:cs="宋体"/>
          <w:highlight w:val="none"/>
        </w:rPr>
      </w:pPr>
      <w:r>
        <w:rPr>
          <w:rFonts w:hint="eastAsia" w:ascii="宋体" w:hAnsi="宋体" w:cs="宋体"/>
          <w:highlight w:val="none"/>
        </w:rPr>
        <w:t>供应商（单位公章）：</w:t>
      </w:r>
    </w:p>
    <w:p>
      <w:pPr>
        <w:spacing w:line="360" w:lineRule="auto"/>
        <w:rPr>
          <w:rFonts w:ascii="宋体" w:hAnsi="宋体" w:cs="宋体"/>
          <w:highlight w:val="none"/>
        </w:rPr>
      </w:pPr>
      <w:r>
        <w:rPr>
          <w:rFonts w:hint="eastAsia" w:ascii="宋体" w:hAnsi="宋体" w:cs="宋体"/>
          <w:highlight w:val="none"/>
        </w:rPr>
        <w:t>地        址：</w:t>
      </w:r>
    </w:p>
    <w:p>
      <w:pPr>
        <w:spacing w:line="360" w:lineRule="auto"/>
        <w:rPr>
          <w:rFonts w:ascii="宋体" w:hAnsi="宋体" w:cs="宋体"/>
          <w:highlight w:val="none"/>
        </w:rPr>
      </w:pPr>
    </w:p>
    <w:p>
      <w:pPr>
        <w:spacing w:line="360" w:lineRule="auto"/>
        <w:rPr>
          <w:rFonts w:ascii="宋体" w:hAnsi="宋体" w:cs="宋体"/>
          <w:highlight w:val="none"/>
        </w:rPr>
      </w:pPr>
      <w:r>
        <w:rPr>
          <w:rFonts w:hint="eastAsia" w:ascii="宋体" w:hAnsi="宋体" w:cs="宋体"/>
          <w:highlight w:val="none"/>
        </w:rPr>
        <w:t>法定代表人（签字或盖章）：</w:t>
      </w:r>
    </w:p>
    <w:p>
      <w:pPr>
        <w:spacing w:line="360" w:lineRule="auto"/>
        <w:rPr>
          <w:rFonts w:ascii="宋体" w:hAnsi="宋体" w:cs="宋体"/>
          <w:highlight w:val="none"/>
        </w:rPr>
      </w:pPr>
      <w:r>
        <w:rPr>
          <w:rFonts w:hint="eastAsia" w:ascii="宋体" w:hAnsi="宋体" w:cs="宋体"/>
          <w:highlight w:val="none"/>
        </w:rPr>
        <w:t>联系电话（手机）：</w:t>
      </w:r>
    </w:p>
    <w:p>
      <w:pPr>
        <w:spacing w:line="360" w:lineRule="auto"/>
        <w:rPr>
          <w:rFonts w:ascii="宋体" w:hAnsi="宋体" w:cs="宋体"/>
          <w:highlight w:val="none"/>
        </w:rPr>
      </w:pPr>
      <w:r>
        <w:rPr>
          <w:rFonts w:hint="eastAsia" w:ascii="宋体" w:hAnsi="宋体" w:cs="宋体"/>
          <w:highlight w:val="none"/>
        </w:rPr>
        <w:t>职        务：</w:t>
      </w:r>
    </w:p>
    <w:p>
      <w:pPr>
        <w:rPr>
          <w:rFonts w:ascii="宋体" w:hAnsi="宋体" w:cs="宋体"/>
          <w:highlight w:val="none"/>
        </w:rPr>
      </w:pPr>
      <w:r>
        <w:rPr>
          <w:rFonts w:hint="eastAsia" w:ascii="宋体" w:hAnsi="宋体" w:cs="宋体"/>
          <w:b/>
          <w:szCs w:val="21"/>
          <w:highlight w:val="none"/>
        </w:rPr>
        <w:br w:type="page"/>
      </w:r>
      <w:bookmarkStart w:id="2288" w:name="_Toc512415773"/>
      <w:r>
        <w:rPr>
          <w:rFonts w:hint="eastAsia" w:ascii="宋体" w:hAnsi="宋体" w:cs="宋体"/>
          <w:highlight w:val="none"/>
        </w:rPr>
        <w:t>4.2 法定代表人授权书格式</w:t>
      </w:r>
      <w:bookmarkEnd w:id="2288"/>
    </w:p>
    <w:p>
      <w:pPr>
        <w:pStyle w:val="23"/>
        <w:spacing w:line="360" w:lineRule="auto"/>
        <w:rPr>
          <w:rFonts w:hAnsi="宋体" w:cs="宋体"/>
          <w:highlight w:val="none"/>
        </w:rPr>
      </w:pPr>
    </w:p>
    <w:p>
      <w:pPr>
        <w:pStyle w:val="23"/>
        <w:spacing w:line="360" w:lineRule="auto"/>
        <w:jc w:val="center"/>
        <w:rPr>
          <w:rFonts w:hAnsi="宋体" w:cs="宋体"/>
          <w:b/>
          <w:highlight w:val="none"/>
        </w:rPr>
      </w:pPr>
      <w:r>
        <w:rPr>
          <w:rFonts w:hint="eastAsia" w:hAnsi="宋体" w:cs="宋体"/>
          <w:b/>
          <w:highlight w:val="none"/>
        </w:rPr>
        <w:t>法定代表人授权书</w:t>
      </w:r>
    </w:p>
    <w:p>
      <w:pPr>
        <w:pStyle w:val="23"/>
        <w:spacing w:line="360" w:lineRule="auto"/>
        <w:rPr>
          <w:rFonts w:hAnsi="宋体" w:cs="宋体"/>
          <w:highlight w:val="none"/>
        </w:rPr>
      </w:pPr>
    </w:p>
    <w:p>
      <w:pPr>
        <w:pStyle w:val="23"/>
        <w:spacing w:line="480" w:lineRule="auto"/>
        <w:rPr>
          <w:rFonts w:hAnsi="宋体" w:cs="宋体"/>
          <w:b/>
          <w:highlight w:val="none"/>
        </w:rPr>
      </w:pPr>
      <w:r>
        <w:rPr>
          <w:rFonts w:hint="eastAsia" w:hAnsi="宋体" w:cs="宋体"/>
          <w:highlight w:val="none"/>
        </w:rPr>
        <w:t>致：</w:t>
      </w:r>
      <w:r>
        <w:rPr>
          <w:rFonts w:hint="eastAsia" w:hAnsi="宋体" w:cs="宋体"/>
          <w:b/>
          <w:highlight w:val="none"/>
        </w:rPr>
        <w:t>广东省机电设备招标有限公司</w:t>
      </w:r>
    </w:p>
    <w:p>
      <w:pPr>
        <w:pStyle w:val="23"/>
        <w:spacing w:line="480" w:lineRule="auto"/>
        <w:ind w:firstLine="420" w:firstLineChars="200"/>
        <w:rPr>
          <w:rFonts w:hAnsi="宋体" w:cs="宋体"/>
          <w:highlight w:val="none"/>
        </w:rPr>
      </w:pPr>
      <w:r>
        <w:rPr>
          <w:rFonts w:hint="eastAsia" w:hAnsi="宋体" w:cs="宋体"/>
          <w:highlight w:val="none"/>
        </w:rPr>
        <w:t>本授权书声明：</w:t>
      </w:r>
      <w:r>
        <w:rPr>
          <w:rFonts w:hint="eastAsia" w:hAnsi="宋体" w:cs="宋体"/>
          <w:highlight w:val="none"/>
          <w:u w:val="single"/>
        </w:rPr>
        <w:t xml:space="preserve">           </w:t>
      </w:r>
      <w:r>
        <w:rPr>
          <w:rFonts w:hint="eastAsia" w:hAnsi="宋体" w:cs="宋体"/>
          <w:highlight w:val="none"/>
        </w:rPr>
        <w:t>是注册于</w:t>
      </w:r>
      <w:r>
        <w:rPr>
          <w:rFonts w:hint="eastAsia" w:hAnsi="宋体" w:cs="宋体"/>
          <w:i/>
          <w:highlight w:val="none"/>
          <w:u w:val="single"/>
        </w:rPr>
        <w:t xml:space="preserve">（国家或地区）   </w:t>
      </w:r>
      <w:r>
        <w:rPr>
          <w:rFonts w:hint="eastAsia" w:hAnsi="宋体" w:cs="宋体"/>
          <w:highlight w:val="none"/>
        </w:rPr>
        <w:t>的</w:t>
      </w:r>
      <w:r>
        <w:rPr>
          <w:rFonts w:hint="eastAsia" w:hAnsi="宋体" w:cs="宋体"/>
          <w:highlight w:val="none"/>
          <w:u w:val="single"/>
        </w:rPr>
        <w:t xml:space="preserve"> </w:t>
      </w:r>
      <w:r>
        <w:rPr>
          <w:rFonts w:hint="eastAsia" w:hAnsi="宋体" w:cs="宋体"/>
          <w:i/>
          <w:highlight w:val="none"/>
          <w:u w:val="single"/>
        </w:rPr>
        <w:t xml:space="preserve">（供应商名称）  </w:t>
      </w:r>
      <w:r>
        <w:rPr>
          <w:rFonts w:hint="eastAsia" w:hAnsi="宋体" w:cs="宋体"/>
          <w:highlight w:val="none"/>
        </w:rPr>
        <w:t>的法定代表人，现任职务</w:t>
      </w:r>
      <w:r>
        <w:rPr>
          <w:rFonts w:hint="eastAsia" w:hAnsi="宋体" w:cs="宋体"/>
          <w:highlight w:val="none"/>
          <w:u w:val="single"/>
        </w:rPr>
        <w:t xml:space="preserve">        </w:t>
      </w:r>
      <w:r>
        <w:rPr>
          <w:rFonts w:hint="eastAsia" w:hAnsi="宋体" w:cs="宋体"/>
          <w:highlight w:val="none"/>
        </w:rPr>
        <w:t>，有效证件号码：</w:t>
      </w:r>
      <w:r>
        <w:rPr>
          <w:rFonts w:hint="eastAsia" w:hAnsi="宋体" w:cs="宋体"/>
          <w:highlight w:val="none"/>
          <w:u w:val="single"/>
        </w:rPr>
        <w:t xml:space="preserve">                 </w:t>
      </w:r>
      <w:r>
        <w:rPr>
          <w:rFonts w:hint="eastAsia" w:hAnsi="宋体" w:cs="宋体"/>
          <w:highlight w:val="none"/>
        </w:rPr>
        <w:t>。现授权</w:t>
      </w:r>
      <w:r>
        <w:rPr>
          <w:rFonts w:hint="eastAsia" w:hAnsi="宋体" w:cs="宋体"/>
          <w:i/>
          <w:highlight w:val="none"/>
          <w:u w:val="single"/>
        </w:rPr>
        <w:t xml:space="preserve">（姓名、职务） </w:t>
      </w:r>
      <w:r>
        <w:rPr>
          <w:rFonts w:hint="eastAsia" w:hAnsi="宋体" w:cs="宋体"/>
          <w:highlight w:val="none"/>
        </w:rPr>
        <w:t>作为我公司的全权代理人，就</w:t>
      </w:r>
      <w:r>
        <w:rPr>
          <w:rFonts w:hint="eastAsia" w:hAnsi="宋体" w:cs="宋体"/>
          <w:highlight w:val="none"/>
          <w:u w:val="single"/>
        </w:rPr>
        <w:t xml:space="preserve">               </w:t>
      </w:r>
      <w:r>
        <w:rPr>
          <w:rFonts w:hint="eastAsia" w:hAnsi="宋体" w:cs="宋体"/>
          <w:highlight w:val="none"/>
        </w:rPr>
        <w:t>项目采购（项目编号：</w:t>
      </w:r>
      <w:r>
        <w:rPr>
          <w:rFonts w:hint="eastAsia" w:hAnsi="宋体" w:cs="宋体"/>
          <w:highlight w:val="none"/>
          <w:u w:val="single"/>
        </w:rPr>
        <w:t xml:space="preserve">                 </w:t>
      </w:r>
      <w:r>
        <w:rPr>
          <w:rFonts w:hint="eastAsia" w:hAnsi="宋体" w:cs="宋体"/>
          <w:highlight w:val="none"/>
        </w:rPr>
        <w:t>）的磋商和合同执行，以我方的名义处理一切与之有关的事宜。</w:t>
      </w:r>
    </w:p>
    <w:p>
      <w:pPr>
        <w:spacing w:line="480" w:lineRule="auto"/>
        <w:ind w:firstLine="420" w:firstLineChars="200"/>
        <w:rPr>
          <w:rFonts w:ascii="宋体" w:hAnsi="宋体" w:cs="宋体"/>
          <w:highlight w:val="none"/>
        </w:rPr>
      </w:pPr>
      <w:r>
        <w:rPr>
          <w:rFonts w:hint="eastAsia" w:ascii="宋体" w:hAnsi="宋体" w:cs="宋体"/>
          <w:highlight w:val="none"/>
        </w:rPr>
        <w:t>本授权书于</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日签字生效，特此声明。</w:t>
      </w:r>
    </w:p>
    <w:p>
      <w:pPr>
        <w:spacing w:line="360" w:lineRule="auto"/>
        <w:rPr>
          <w:rFonts w:ascii="宋体" w:hAnsi="宋体" w:cs="宋体"/>
          <w:highlight w:val="none"/>
        </w:rPr>
      </w:pPr>
    </w:p>
    <w:p>
      <w:pPr>
        <w:spacing w:line="360" w:lineRule="auto"/>
        <w:rPr>
          <w:rFonts w:ascii="宋体" w:hAnsi="宋体" w:cs="宋体"/>
          <w:highlight w:val="none"/>
        </w:rPr>
      </w:pPr>
      <w:r>
        <w:rPr>
          <w:rFonts w:ascii="宋体" w:hAnsi="宋体" w:cs="宋体"/>
          <w:highlight w:val="none"/>
        </w:rPr>
        <mc:AlternateContent>
          <mc:Choice Requires="wps">
            <w:drawing>
              <wp:anchor distT="0" distB="0" distL="114300" distR="114300" simplePos="0" relativeHeight="251664384" behindDoc="0" locked="0" layoutInCell="1" allowOverlap="1">
                <wp:simplePos x="0" y="0"/>
                <wp:positionH relativeFrom="column">
                  <wp:posOffset>3067685</wp:posOffset>
                </wp:positionH>
                <wp:positionV relativeFrom="paragraph">
                  <wp:posOffset>10160</wp:posOffset>
                </wp:positionV>
                <wp:extent cx="2616200" cy="1504950"/>
                <wp:effectExtent l="4445" t="4445" r="8255" b="14605"/>
                <wp:wrapNone/>
                <wp:docPr id="7" name="自选图形 9"/>
                <wp:cNvGraphicFramePr/>
                <a:graphic xmlns:a="http://schemas.openxmlformats.org/drawingml/2006/main">
                  <a:graphicData uri="http://schemas.microsoft.com/office/word/2010/wordprocessingShape">
                    <wps:wsp>
                      <wps:cNvSpPr/>
                      <wps:spPr>
                        <a:xfrm>
                          <a:off x="0" y="0"/>
                          <a:ext cx="2616200" cy="15049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r>
                              <w:rPr>
                                <w:rFonts w:hint="eastAsia"/>
                                <w:b/>
                              </w:rPr>
                              <w:t>授权代表身份证复印件（反面）粘贴处</w:t>
                            </w:r>
                          </w:p>
                        </w:txbxContent>
                      </wps:txbx>
                      <wps:bodyPr wrap="square" upright="1"/>
                    </wps:wsp>
                  </a:graphicData>
                </a:graphic>
              </wp:anchor>
            </w:drawing>
          </mc:Choice>
          <mc:Fallback>
            <w:pict>
              <v:roundrect id="自选图形 9" o:spid="_x0000_s1026" o:spt="2" style="position:absolute;left:0pt;margin-left:241.55pt;margin-top:0.8pt;height:118.5pt;width:206pt;z-index:251664384;mso-width-relative:page;mso-height-relative:page;" fillcolor="#FFFFFF" filled="t" stroked="t" coordsize="21600,21600" arcsize="0.166666666666667" o:gfxdata="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1Bcsk1QAAAAkBAAAPAAAA&#10;AAAAAAEAIAAAACIAAABkcnMvZG93bnJldi54bWxQSwECFAAUAAAACACHTuJALjYWqhgCAAAlBAAA&#10;DgAAAAAAAAABACAAAAAkAQAAZHJzL2Uyb0RvYy54bWxQSwUGAAAAAAYABgBZAQAArgUAAAAA&#10;">
                <v:fill on="t" focussize="0,0"/>
                <v:stroke color="#000000" joinstyle="round"/>
                <v:imagedata o:title=""/>
                <o:lock v:ext="edit" aspectratio="f"/>
                <v:textbox>
                  <w:txbxContent>
                    <w:p>
                      <w:r>
                        <w:rPr>
                          <w:rFonts w:hint="eastAsia"/>
                          <w:b/>
                        </w:rPr>
                        <w:t>授权代表身份证复印件（反面）粘贴处</w:t>
                      </w:r>
                    </w:p>
                  </w:txbxContent>
                </v:textbox>
              </v:roundrect>
            </w:pict>
          </mc:Fallback>
        </mc:AlternateContent>
      </w:r>
      <w:r>
        <w:rPr>
          <w:rFonts w:ascii="宋体" w:hAnsi="宋体" w:cs="宋体"/>
          <w:highlight w:val="none"/>
        </w:rPr>
        <mc:AlternateContent>
          <mc:Choice Requires="wps">
            <w:drawing>
              <wp:anchor distT="0" distB="0" distL="114300" distR="114300" simplePos="0" relativeHeight="251663360" behindDoc="0" locked="0" layoutInCell="1" allowOverlap="1">
                <wp:simplePos x="0" y="0"/>
                <wp:positionH relativeFrom="column">
                  <wp:posOffset>38735</wp:posOffset>
                </wp:positionH>
                <wp:positionV relativeFrom="paragraph">
                  <wp:posOffset>3810</wp:posOffset>
                </wp:positionV>
                <wp:extent cx="2553335" cy="1517650"/>
                <wp:effectExtent l="4445" t="4445" r="13970" b="20955"/>
                <wp:wrapNone/>
                <wp:docPr id="6" name="自选图形 10"/>
                <wp:cNvGraphicFramePr/>
                <a:graphic xmlns:a="http://schemas.openxmlformats.org/drawingml/2006/main">
                  <a:graphicData uri="http://schemas.microsoft.com/office/word/2010/wordprocessingShape">
                    <wps:wsp>
                      <wps:cNvSpPr/>
                      <wps:spPr>
                        <a:xfrm>
                          <a:off x="0" y="0"/>
                          <a:ext cx="2553335" cy="15176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r>
                              <w:rPr>
                                <w:rFonts w:hint="eastAsia"/>
                                <w:b/>
                              </w:rPr>
                              <w:t>授权代表身份证复印件（正面）粘贴处</w:t>
                            </w:r>
                          </w:p>
                        </w:txbxContent>
                      </wps:txbx>
                      <wps:bodyPr wrap="square" upright="1"/>
                    </wps:wsp>
                  </a:graphicData>
                </a:graphic>
              </wp:anchor>
            </w:drawing>
          </mc:Choice>
          <mc:Fallback>
            <w:pict>
              <v:roundrect id="自选图形 10" o:spid="_x0000_s1026" o:spt="2" style="position:absolute;left:0pt;margin-left:3.05pt;margin-top:0.3pt;height:119.5pt;width:201.05pt;z-index:251663360;mso-width-relative:page;mso-height-relative:page;" fillcolor="#FFFFFF" filled="t" stroked="t" coordsize="21600,21600" arcsize="0.166666666666667" o:gfxdata="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GTmFIdMAAAAGAQAADwAAAAAA&#10;AAABACAAAAAiAAAAZHJzL2Rvd25yZXYueG1sUEsBAhQAFAAAAAgAh07iQEWlRCsYAgAAJgQAAA4A&#10;AAAAAAAAAQAgAAAAIgEAAGRycy9lMm9Eb2MueG1sUEsFBgAAAAAGAAYAWQEAAKwFAAAAAA==&#10;">
                <v:fill on="t" focussize="0,0"/>
                <v:stroke color="#000000" joinstyle="round"/>
                <v:imagedata o:title=""/>
                <o:lock v:ext="edit" aspectratio="f"/>
                <v:textbox>
                  <w:txbxContent>
                    <w:p>
                      <w:r>
                        <w:rPr>
                          <w:rFonts w:hint="eastAsia"/>
                          <w:b/>
                        </w:rPr>
                        <w:t>授权代表身份证复印件（正面）粘贴处</w:t>
                      </w:r>
                    </w:p>
                  </w:txbxContent>
                </v:textbox>
              </v:roundrect>
            </w:pict>
          </mc:Fallback>
        </mc:AlternateContent>
      </w:r>
      <w:r>
        <w:rPr>
          <w:rFonts w:hint="eastAsia" w:ascii="宋体" w:hAnsi="宋体" w:cs="宋体"/>
          <w:highlight w:val="none"/>
        </w:rPr>
        <w:t xml:space="preserve">                                              </w:t>
      </w: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spacing w:line="360" w:lineRule="auto"/>
        <w:rPr>
          <w:rFonts w:ascii="宋体" w:hAnsi="宋体" w:cs="宋体"/>
          <w:highlight w:val="none"/>
        </w:rPr>
      </w:pPr>
    </w:p>
    <w:p>
      <w:pPr>
        <w:spacing w:line="360" w:lineRule="auto"/>
        <w:rPr>
          <w:rFonts w:ascii="宋体" w:hAnsi="宋体" w:cs="宋体"/>
          <w:highlight w:val="none"/>
        </w:rPr>
      </w:pPr>
      <w:r>
        <w:rPr>
          <w:rFonts w:hint="eastAsia" w:ascii="宋体" w:hAnsi="宋体" w:cs="宋体"/>
          <w:highlight w:val="none"/>
        </w:rPr>
        <w:t>供应商（单位公章）：</w:t>
      </w:r>
    </w:p>
    <w:p>
      <w:pPr>
        <w:spacing w:line="360" w:lineRule="auto"/>
        <w:rPr>
          <w:rFonts w:ascii="宋体" w:hAnsi="宋体" w:cs="宋体"/>
          <w:highlight w:val="none"/>
        </w:rPr>
      </w:pPr>
      <w:r>
        <w:rPr>
          <w:rFonts w:hint="eastAsia" w:ascii="宋体" w:hAnsi="宋体" w:cs="宋体"/>
          <w:highlight w:val="none"/>
        </w:rPr>
        <w:t>地址：</w:t>
      </w:r>
    </w:p>
    <w:p>
      <w:pPr>
        <w:tabs>
          <w:tab w:val="left" w:pos="3780"/>
        </w:tabs>
        <w:spacing w:line="360" w:lineRule="auto"/>
        <w:rPr>
          <w:rFonts w:ascii="宋体" w:hAnsi="宋体" w:cs="宋体"/>
          <w:highlight w:val="none"/>
        </w:rPr>
      </w:pPr>
      <w:r>
        <w:rPr>
          <w:rFonts w:hint="eastAsia" w:ascii="宋体" w:hAnsi="宋体" w:cs="宋体"/>
          <w:highlight w:val="none"/>
        </w:rPr>
        <w:t>法定代表人（</w:t>
      </w:r>
      <w:r>
        <w:rPr>
          <w:rFonts w:hint="eastAsia" w:ascii="宋体" w:hAnsi="宋体" w:cs="宋体"/>
          <w:spacing w:val="20"/>
          <w:highlight w:val="none"/>
        </w:rPr>
        <w:t>签字或签章</w:t>
      </w:r>
      <w:r>
        <w:rPr>
          <w:rFonts w:hint="eastAsia" w:ascii="宋体" w:hAnsi="宋体" w:cs="宋体"/>
          <w:highlight w:val="none"/>
        </w:rPr>
        <w:t>）：</w:t>
      </w:r>
    </w:p>
    <w:p>
      <w:pPr>
        <w:tabs>
          <w:tab w:val="left" w:pos="3885"/>
        </w:tabs>
        <w:spacing w:line="360" w:lineRule="auto"/>
        <w:rPr>
          <w:rFonts w:ascii="宋体" w:hAnsi="宋体" w:cs="宋体"/>
          <w:highlight w:val="none"/>
        </w:rPr>
      </w:pPr>
      <w:r>
        <w:rPr>
          <w:rFonts w:hint="eastAsia" w:ascii="宋体" w:hAnsi="宋体" w:cs="宋体"/>
          <w:highlight w:val="none"/>
        </w:rPr>
        <w:t>职务：</w:t>
      </w:r>
    </w:p>
    <w:p>
      <w:pPr>
        <w:spacing w:line="360" w:lineRule="auto"/>
        <w:rPr>
          <w:rFonts w:ascii="宋体" w:hAnsi="宋体" w:cs="宋体"/>
          <w:highlight w:val="none"/>
        </w:rPr>
      </w:pPr>
      <w:r>
        <w:rPr>
          <w:rFonts w:hint="eastAsia" w:ascii="宋体" w:hAnsi="宋体" w:cs="宋体"/>
          <w:spacing w:val="20"/>
          <w:highlight w:val="none"/>
        </w:rPr>
        <w:t>被授权人（签字）</w:t>
      </w:r>
      <w:r>
        <w:rPr>
          <w:rFonts w:hint="eastAsia" w:ascii="宋体" w:hAnsi="宋体" w:cs="宋体"/>
          <w:highlight w:val="none"/>
        </w:rPr>
        <w:t>：</w:t>
      </w:r>
    </w:p>
    <w:p>
      <w:pPr>
        <w:spacing w:line="360" w:lineRule="auto"/>
        <w:rPr>
          <w:rFonts w:ascii="宋体" w:hAnsi="宋体" w:cs="宋体"/>
          <w:highlight w:val="none"/>
        </w:rPr>
      </w:pPr>
      <w:r>
        <w:rPr>
          <w:rFonts w:hint="eastAsia" w:ascii="宋体" w:hAnsi="宋体" w:cs="宋体"/>
          <w:highlight w:val="none"/>
        </w:rPr>
        <w:t>联系电话（手机）：</w:t>
      </w:r>
    </w:p>
    <w:p>
      <w:pPr>
        <w:tabs>
          <w:tab w:val="left" w:pos="2041"/>
        </w:tabs>
        <w:spacing w:line="360" w:lineRule="auto"/>
        <w:rPr>
          <w:rFonts w:ascii="宋体" w:hAnsi="宋体" w:cs="宋体"/>
          <w:highlight w:val="none"/>
        </w:rPr>
      </w:pPr>
      <w:r>
        <w:rPr>
          <w:rFonts w:hint="eastAsia" w:ascii="宋体" w:hAnsi="宋体" w:cs="宋体"/>
          <w:highlight w:val="none"/>
        </w:rPr>
        <w:t>职务：</w:t>
      </w:r>
    </w:p>
    <w:p>
      <w:pPr>
        <w:tabs>
          <w:tab w:val="left" w:pos="2041"/>
        </w:tabs>
        <w:spacing w:line="360" w:lineRule="auto"/>
        <w:rPr>
          <w:rFonts w:ascii="宋体" w:hAnsi="宋体" w:cs="宋体"/>
          <w:highlight w:val="none"/>
        </w:rPr>
      </w:pPr>
    </w:p>
    <w:p>
      <w:pPr>
        <w:spacing w:line="360" w:lineRule="auto"/>
        <w:rPr>
          <w:rFonts w:ascii="宋体" w:hAnsi="宋体" w:cs="宋体"/>
          <w:highlight w:val="none"/>
        </w:rPr>
      </w:pPr>
      <w:r>
        <w:rPr>
          <w:rFonts w:hint="eastAsia" w:ascii="宋体" w:hAnsi="宋体" w:cs="宋体"/>
          <w:highlight w:val="none"/>
        </w:rPr>
        <w:t>说明：</w:t>
      </w:r>
    </w:p>
    <w:p>
      <w:pPr>
        <w:spacing w:line="360" w:lineRule="auto"/>
        <w:rPr>
          <w:rFonts w:ascii="宋体" w:hAnsi="宋体" w:cs="宋体"/>
          <w:highlight w:val="none"/>
        </w:rPr>
      </w:pPr>
      <w:r>
        <w:rPr>
          <w:rFonts w:hint="eastAsia" w:ascii="宋体" w:hAnsi="宋体" w:cs="宋体"/>
          <w:highlight w:val="none"/>
        </w:rPr>
        <w:t>（1）法定代表人亲自签署“</w:t>
      </w:r>
      <w:r>
        <w:rPr>
          <w:rFonts w:hint="eastAsia" w:ascii="宋体" w:hAnsi="宋体" w:cs="宋体"/>
          <w:highlight w:val="none"/>
          <w:lang w:val="en-US" w:eastAsia="zh-CN"/>
        </w:rPr>
        <w:t>投标</w:t>
      </w:r>
      <w:r>
        <w:rPr>
          <w:rFonts w:hint="eastAsia" w:ascii="宋体" w:hAnsi="宋体" w:cs="宋体"/>
          <w:highlight w:val="none"/>
        </w:rPr>
        <w:t>函”的，则无需提交本表。</w:t>
      </w:r>
    </w:p>
    <w:p>
      <w:pPr>
        <w:spacing w:line="360" w:lineRule="auto"/>
        <w:rPr>
          <w:rFonts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投标</w:t>
      </w:r>
      <w:r>
        <w:rPr>
          <w:rFonts w:hint="eastAsia" w:ascii="宋体" w:hAnsi="宋体" w:cs="宋体"/>
          <w:highlight w:val="none"/>
        </w:rPr>
        <w:t>函”由委托代理人签署的，须提交本授权委托证明书（要加盖单位公章及法定代表人的亲笔签字或盖章，缺一不可）。</w:t>
      </w:r>
    </w:p>
    <w:p>
      <w:pPr>
        <w:pStyle w:val="6"/>
        <w:rPr>
          <w:rFonts w:hAnsi="宋体" w:cs="宋体"/>
          <w:szCs w:val="21"/>
          <w:highlight w:val="none"/>
        </w:rPr>
      </w:pPr>
      <w:r>
        <w:rPr>
          <w:rFonts w:hint="eastAsia" w:hAnsi="宋体" w:cs="宋体"/>
          <w:highlight w:val="none"/>
        </w:rPr>
        <w:t>（3）非法人磋商的，负责人指《营业执照》上载明的负责人。</w:t>
      </w:r>
    </w:p>
    <w:p>
      <w:pPr>
        <w:spacing w:line="360" w:lineRule="auto"/>
        <w:rPr>
          <w:rFonts w:ascii="宋体" w:hAnsi="宋体" w:cs="宋体"/>
          <w:b/>
          <w:szCs w:val="21"/>
          <w:highlight w:val="none"/>
        </w:rPr>
      </w:pPr>
    </w:p>
    <w:p>
      <w:pPr>
        <w:pStyle w:val="89"/>
        <w:spacing w:before="0" w:after="0" w:line="360" w:lineRule="auto"/>
        <w:rPr>
          <w:rFonts w:ascii="宋体" w:hAnsi="宋体" w:cs="宋体"/>
          <w:sz w:val="21"/>
          <w:szCs w:val="21"/>
          <w:highlight w:val="none"/>
        </w:rPr>
      </w:pPr>
      <w:r>
        <w:rPr>
          <w:rFonts w:hint="eastAsia" w:ascii="宋体" w:hAnsi="宋体" w:cs="宋体"/>
          <w:b/>
          <w:szCs w:val="21"/>
          <w:highlight w:val="none"/>
        </w:rPr>
        <w:br w:type="page"/>
      </w:r>
      <w:r>
        <w:rPr>
          <w:rFonts w:hint="eastAsia" w:ascii="宋体" w:hAnsi="宋体" w:cs="宋体"/>
          <w:sz w:val="21"/>
          <w:szCs w:val="21"/>
          <w:highlight w:val="none"/>
        </w:rPr>
        <w:t>4.3 对合同条款的应答</w:t>
      </w:r>
    </w:p>
    <w:p>
      <w:pPr>
        <w:ind w:firstLine="630" w:firstLineChars="300"/>
        <w:rPr>
          <w:rFonts w:ascii="宋体" w:hAnsi="宋体" w:cs="宋体"/>
          <w:szCs w:val="21"/>
          <w:highlight w:val="none"/>
        </w:rPr>
      </w:pPr>
    </w:p>
    <w:p>
      <w:pPr>
        <w:ind w:firstLine="630" w:firstLineChars="300"/>
        <w:rPr>
          <w:rFonts w:ascii="宋体" w:hAnsi="宋体" w:cs="宋体"/>
          <w:szCs w:val="21"/>
          <w:highlight w:val="none"/>
        </w:rPr>
      </w:pPr>
    </w:p>
    <w:p>
      <w:pPr>
        <w:ind w:firstLine="630" w:firstLineChars="300"/>
        <w:rPr>
          <w:rFonts w:ascii="宋体" w:hAnsi="宋体" w:cs="宋体"/>
          <w:highlight w:val="none"/>
        </w:rPr>
      </w:pPr>
      <w:r>
        <w:rPr>
          <w:rFonts w:hint="eastAsia" w:ascii="宋体" w:hAnsi="宋体" w:cs="宋体"/>
          <w:highlight w:val="none"/>
        </w:rPr>
        <w:t>（两种情况请选择一种应答，在“</w:t>
      </w:r>
      <w:r>
        <w:rPr>
          <w:rFonts w:hint="eastAsia" w:ascii="宋体" w:hAnsi="宋体" w:cs="宋体"/>
          <w:highlight w:val="none"/>
        </w:rPr>
        <w:sym w:font="Wingdings 2" w:char="00A3"/>
      </w:r>
      <w:r>
        <w:rPr>
          <w:rFonts w:hint="eastAsia" w:ascii="宋体" w:hAnsi="宋体" w:cs="宋体"/>
          <w:highlight w:val="none"/>
        </w:rPr>
        <w:t>”上打“√”）</w:t>
      </w:r>
    </w:p>
    <w:p>
      <w:pPr>
        <w:ind w:firstLine="630" w:firstLineChars="300"/>
        <w:rPr>
          <w:rFonts w:ascii="宋体" w:hAnsi="宋体" w:cs="宋体"/>
          <w:highlight w:val="none"/>
        </w:rPr>
      </w:pPr>
    </w:p>
    <w:p>
      <w:pPr>
        <w:spacing w:line="360" w:lineRule="auto"/>
        <w:ind w:firstLine="420" w:firstLineChars="200"/>
        <w:rPr>
          <w:rFonts w:ascii="宋体" w:hAnsi="宋体" w:cs="宋体"/>
          <w:highlight w:val="none"/>
        </w:rPr>
      </w:pPr>
      <w:r>
        <w:rPr>
          <w:rFonts w:hint="eastAsia" w:ascii="宋体" w:hAnsi="宋体" w:cs="宋体"/>
          <w:highlight w:val="none"/>
        </w:rPr>
        <w:sym w:font="Wingdings 2" w:char="00A3"/>
      </w:r>
      <w:r>
        <w:rPr>
          <w:rFonts w:hint="eastAsia" w:ascii="宋体" w:hAnsi="宋体" w:cs="宋体"/>
          <w:highlight w:val="none"/>
        </w:rPr>
        <w:t xml:space="preserve"> 合同条款全部满足</w:t>
      </w:r>
    </w:p>
    <w:p>
      <w:pPr>
        <w:spacing w:line="360" w:lineRule="auto"/>
        <w:rPr>
          <w:rFonts w:ascii="宋体" w:hAnsi="宋体" w:cs="宋体"/>
          <w:highlight w:val="none"/>
        </w:rPr>
      </w:pPr>
    </w:p>
    <w:p>
      <w:pPr>
        <w:spacing w:line="360" w:lineRule="auto"/>
        <w:ind w:firstLine="420" w:firstLineChars="200"/>
        <w:rPr>
          <w:rFonts w:ascii="宋体" w:hAnsi="宋体" w:cs="宋体"/>
          <w:highlight w:val="none"/>
        </w:rPr>
      </w:pPr>
      <w:r>
        <w:rPr>
          <w:rFonts w:hint="eastAsia" w:ascii="宋体" w:hAnsi="宋体" w:cs="宋体"/>
          <w:highlight w:val="none"/>
        </w:rPr>
        <w:sym w:font="Wingdings 2" w:char="00A3"/>
      </w:r>
      <w:r>
        <w:rPr>
          <w:rFonts w:hint="eastAsia" w:ascii="宋体" w:hAnsi="宋体" w:cs="宋体"/>
          <w:highlight w:val="none"/>
        </w:rPr>
        <w:t xml:space="preserve"> 1、不同意的合同条款（请列出修改意见）</w:t>
      </w:r>
    </w:p>
    <w:p>
      <w:pPr>
        <w:spacing w:line="360" w:lineRule="auto"/>
        <w:rPr>
          <w:rFonts w:ascii="宋体" w:hAnsi="宋体" w:cs="宋体"/>
          <w:highlight w:val="none"/>
          <w:u w:val="single"/>
        </w:rPr>
      </w:pPr>
    </w:p>
    <w:p>
      <w:pPr>
        <w:spacing w:line="360" w:lineRule="auto"/>
        <w:rPr>
          <w:rFonts w:ascii="宋体" w:hAnsi="宋体" w:cs="宋体"/>
          <w:highlight w:val="none"/>
          <w:u w:val="single"/>
        </w:rPr>
      </w:pPr>
    </w:p>
    <w:p>
      <w:pPr>
        <w:spacing w:line="360" w:lineRule="auto"/>
        <w:rPr>
          <w:rFonts w:ascii="宋体" w:hAnsi="宋体" w:cs="宋体"/>
          <w:highlight w:val="none"/>
          <w:u w:val="single"/>
        </w:rPr>
      </w:pPr>
    </w:p>
    <w:p>
      <w:pPr>
        <w:spacing w:line="360" w:lineRule="auto"/>
        <w:rPr>
          <w:rFonts w:ascii="宋体" w:hAnsi="宋体" w:cs="宋体"/>
          <w:highlight w:val="none"/>
          <w:u w:val="single"/>
        </w:rPr>
      </w:pPr>
    </w:p>
    <w:p>
      <w:pPr>
        <w:spacing w:line="360" w:lineRule="auto"/>
        <w:ind w:firstLine="420"/>
        <w:rPr>
          <w:rFonts w:ascii="宋体" w:hAnsi="宋体" w:cs="宋体"/>
          <w:highlight w:val="none"/>
        </w:rPr>
      </w:pPr>
    </w:p>
    <w:p>
      <w:pPr>
        <w:spacing w:line="360" w:lineRule="auto"/>
        <w:ind w:firstLine="735"/>
        <w:rPr>
          <w:rFonts w:ascii="宋体" w:hAnsi="宋体" w:cs="宋体"/>
          <w:highlight w:val="none"/>
        </w:rPr>
      </w:pPr>
      <w:r>
        <w:rPr>
          <w:rFonts w:hint="eastAsia" w:ascii="宋体" w:hAnsi="宋体" w:cs="宋体"/>
          <w:highlight w:val="none"/>
        </w:rPr>
        <w:t>2、其余合同条款全部满足。</w:t>
      </w:r>
    </w:p>
    <w:p>
      <w:pPr>
        <w:spacing w:line="360" w:lineRule="auto"/>
        <w:ind w:firstLine="420"/>
        <w:rPr>
          <w:rFonts w:ascii="宋体" w:hAnsi="宋体" w:cs="宋体"/>
          <w:highlight w:val="none"/>
        </w:rPr>
      </w:pPr>
    </w:p>
    <w:p>
      <w:pPr>
        <w:spacing w:line="360" w:lineRule="auto"/>
        <w:ind w:firstLine="420"/>
        <w:rPr>
          <w:rFonts w:ascii="宋体" w:hAnsi="宋体" w:cs="宋体"/>
          <w:highlight w:val="none"/>
        </w:rPr>
      </w:pPr>
    </w:p>
    <w:p>
      <w:pPr>
        <w:spacing w:line="360" w:lineRule="auto"/>
        <w:ind w:firstLine="420"/>
        <w:rPr>
          <w:rFonts w:ascii="宋体" w:hAnsi="宋体" w:cs="宋体"/>
          <w:highlight w:val="none"/>
        </w:rPr>
      </w:pPr>
    </w:p>
    <w:p>
      <w:pPr>
        <w:spacing w:line="360" w:lineRule="auto"/>
        <w:ind w:firstLine="420"/>
        <w:rPr>
          <w:rFonts w:ascii="宋体" w:hAnsi="宋体" w:cs="宋体"/>
          <w:highlight w:val="none"/>
        </w:rPr>
      </w:pPr>
    </w:p>
    <w:p>
      <w:pPr>
        <w:spacing w:line="360" w:lineRule="auto"/>
        <w:rPr>
          <w:rFonts w:ascii="宋体" w:hAnsi="宋体" w:cs="宋体"/>
          <w:highlight w:val="none"/>
          <w:u w:val="single"/>
        </w:rPr>
      </w:pPr>
      <w:r>
        <w:rPr>
          <w:rFonts w:hint="eastAsia" w:ascii="宋体" w:hAnsi="宋体" w:cs="宋体"/>
          <w:highlight w:val="none"/>
        </w:rPr>
        <w:t>供应商名称（单位公章）：</w:t>
      </w:r>
    </w:p>
    <w:p>
      <w:pPr>
        <w:spacing w:line="360" w:lineRule="auto"/>
        <w:rPr>
          <w:rFonts w:ascii="宋体" w:hAnsi="宋体" w:cs="宋体"/>
          <w:highlight w:val="none"/>
          <w:u w:val="single"/>
        </w:rPr>
      </w:pPr>
    </w:p>
    <w:p>
      <w:pPr>
        <w:pStyle w:val="23"/>
        <w:spacing w:line="360" w:lineRule="auto"/>
        <w:ind w:left="2"/>
        <w:rPr>
          <w:rFonts w:hAnsi="宋体" w:cs="宋体"/>
          <w:highlight w:val="none"/>
        </w:rPr>
      </w:pPr>
      <w:r>
        <w:rPr>
          <w:rFonts w:hint="eastAsia" w:hAnsi="宋体" w:cs="宋体"/>
          <w:highlight w:val="none"/>
        </w:rPr>
        <w:t>日期：    年   月    日</w:t>
      </w:r>
    </w:p>
    <w:p>
      <w:pPr>
        <w:spacing w:line="360" w:lineRule="auto"/>
        <w:rPr>
          <w:rFonts w:ascii="宋体" w:hAnsi="宋体" w:cs="宋体"/>
          <w:szCs w:val="21"/>
          <w:highlight w:val="none"/>
        </w:rPr>
      </w:pPr>
      <w:r>
        <w:rPr>
          <w:rFonts w:hint="eastAsia" w:ascii="宋体" w:hAnsi="宋体" w:cs="宋体"/>
          <w:szCs w:val="21"/>
          <w:highlight w:val="none"/>
        </w:rPr>
        <w:br w:type="page"/>
      </w:r>
    </w:p>
    <w:p>
      <w:pPr>
        <w:pStyle w:val="6"/>
        <w:tabs>
          <w:tab w:val="left" w:pos="851"/>
        </w:tabs>
        <w:rPr>
          <w:rFonts w:hAnsi="宋体" w:cs="宋体"/>
          <w:color w:val="auto"/>
          <w:szCs w:val="21"/>
          <w:highlight w:val="none"/>
        </w:rPr>
      </w:pPr>
      <w:r>
        <w:rPr>
          <w:rFonts w:hint="eastAsia" w:hAnsi="宋体" w:cs="宋体"/>
          <w:color w:val="auto"/>
          <w:szCs w:val="21"/>
          <w:highlight w:val="none"/>
        </w:rPr>
        <w:t>4.</w:t>
      </w:r>
      <w:r>
        <w:rPr>
          <w:rFonts w:hint="eastAsia" w:hAnsi="宋体" w:cs="宋体"/>
          <w:color w:val="auto"/>
          <w:szCs w:val="21"/>
          <w:highlight w:val="none"/>
          <w:lang w:val="en-US" w:eastAsia="zh-CN"/>
        </w:rPr>
        <w:t>4</w:t>
      </w:r>
      <w:r>
        <w:rPr>
          <w:rFonts w:hint="eastAsia" w:hAnsi="宋体" w:cs="宋体"/>
          <w:color w:val="auto"/>
          <w:szCs w:val="21"/>
          <w:highlight w:val="none"/>
        </w:rPr>
        <w:t>名称变更</w:t>
      </w:r>
    </w:p>
    <w:p>
      <w:pPr>
        <w:pStyle w:val="89"/>
        <w:spacing w:before="0" w:after="0" w:line="360" w:lineRule="auto"/>
        <w:ind w:firstLine="460" w:firstLineChars="200"/>
        <w:rPr>
          <w:rFonts w:ascii="宋体" w:hAnsi="宋体" w:cs="宋体"/>
          <w:sz w:val="21"/>
          <w:szCs w:val="21"/>
          <w:highlight w:val="none"/>
        </w:rPr>
      </w:pPr>
      <w:r>
        <w:rPr>
          <w:rFonts w:hint="eastAsia" w:ascii="宋体" w:hAnsi="宋体" w:cs="宋体"/>
          <w:sz w:val="21"/>
          <w:szCs w:val="21"/>
          <w:highlight w:val="none"/>
        </w:rPr>
        <w:t>供应商如果有名称变更的，应提供由工商管理部门出具的变更证明文件。</w:t>
      </w:r>
    </w:p>
    <w:p>
      <w:pPr>
        <w:pStyle w:val="89"/>
        <w:spacing w:before="0" w:after="0" w:line="360" w:lineRule="auto"/>
        <w:ind w:left="850" w:leftChars="405"/>
        <w:rPr>
          <w:rFonts w:ascii="宋体" w:hAnsi="宋体" w:cs="宋体"/>
          <w:sz w:val="21"/>
          <w:szCs w:val="21"/>
          <w:highlight w:val="none"/>
        </w:rPr>
      </w:pPr>
    </w:p>
    <w:p>
      <w:pPr>
        <w:spacing w:line="360" w:lineRule="auto"/>
        <w:rPr>
          <w:rFonts w:hAnsi="宋体" w:cs="宋体"/>
          <w:b/>
          <w:szCs w:val="21"/>
          <w:highlight w:val="none"/>
        </w:rPr>
      </w:pPr>
      <w:bookmarkStart w:id="2289" w:name="_Toc535849054"/>
      <w:bookmarkStart w:id="2290" w:name="_Toc518642828"/>
      <w:bookmarkStart w:id="2291" w:name="_Toc519164276"/>
      <w:bookmarkStart w:id="2292" w:name="_Toc518642978"/>
    </w:p>
    <w:bookmarkEnd w:id="2289"/>
    <w:bookmarkEnd w:id="2290"/>
    <w:bookmarkEnd w:id="2291"/>
    <w:bookmarkEnd w:id="2292"/>
    <w:p>
      <w:pPr>
        <w:pStyle w:val="89"/>
        <w:spacing w:before="0" w:after="0" w:line="360" w:lineRule="auto"/>
        <w:rPr>
          <w:rFonts w:ascii="宋体" w:hAnsi="宋体" w:cs="宋体"/>
          <w:sz w:val="21"/>
          <w:szCs w:val="21"/>
          <w:highlight w:val="none"/>
        </w:rPr>
      </w:pPr>
    </w:p>
    <w:p>
      <w:pPr>
        <w:pStyle w:val="89"/>
        <w:spacing w:before="0" w:after="0" w:line="360" w:lineRule="auto"/>
        <w:rPr>
          <w:rFonts w:ascii="宋体" w:hAnsi="宋体" w:cs="宋体"/>
          <w:sz w:val="21"/>
          <w:szCs w:val="21"/>
          <w:highlight w:val="none"/>
        </w:rPr>
      </w:pPr>
    </w:p>
    <w:p>
      <w:pPr>
        <w:pStyle w:val="3"/>
        <w:keepLines w:val="0"/>
        <w:widowControl w:val="0"/>
        <w:tabs>
          <w:tab w:val="left" w:pos="851"/>
        </w:tabs>
        <w:adjustRightInd/>
        <w:snapToGrid/>
        <w:jc w:val="both"/>
        <w:rPr>
          <w:rFonts w:hAnsi="宋体" w:cs="宋体"/>
          <w:b/>
          <w:sz w:val="21"/>
          <w:szCs w:val="21"/>
          <w:highlight w:val="none"/>
        </w:rPr>
      </w:pPr>
      <w:bookmarkStart w:id="2293" w:name="_Toc3006"/>
      <w:bookmarkStart w:id="2294" w:name="_Toc480143802"/>
      <w:bookmarkStart w:id="2295" w:name="_Toc6189"/>
      <w:bookmarkStart w:id="2296" w:name="_Toc478741264"/>
      <w:bookmarkStart w:id="2297" w:name="_Toc519164277"/>
      <w:bookmarkStart w:id="2298" w:name="_Toc31404"/>
      <w:bookmarkStart w:id="2299" w:name="_Toc535849055"/>
      <w:bookmarkStart w:id="2300" w:name="_Toc461608938"/>
      <w:bookmarkStart w:id="2301" w:name="_Toc459708501"/>
      <w:bookmarkStart w:id="2302" w:name="_Toc475522384"/>
      <w:bookmarkStart w:id="2303" w:name="_Toc475578773"/>
      <w:bookmarkStart w:id="2304" w:name="_Toc31807"/>
      <w:bookmarkStart w:id="2305" w:name="_Toc502737195"/>
      <w:bookmarkStart w:id="2306" w:name="_Toc458791452"/>
      <w:bookmarkStart w:id="2307" w:name="_Toc5334"/>
      <w:bookmarkStart w:id="2308" w:name="_Toc11864"/>
      <w:r>
        <w:rPr>
          <w:rFonts w:hint="eastAsia" w:hAnsi="宋体" w:cs="宋体"/>
          <w:b/>
          <w:sz w:val="21"/>
          <w:szCs w:val="21"/>
          <w:highlight w:val="none"/>
        </w:rPr>
        <w:t>5.同类项目业绩介绍</w:t>
      </w:r>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p>
    <w:tbl>
      <w:tblPr>
        <w:tblStyle w:val="46"/>
        <w:tblW w:w="953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3245"/>
        <w:gridCol w:w="1757"/>
        <w:gridCol w:w="1954"/>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b/>
                <w:bCs/>
                <w:highlight w:val="none"/>
              </w:rPr>
            </w:pPr>
            <w:r>
              <w:rPr>
                <w:rFonts w:hint="eastAsia" w:ascii="宋体" w:hAnsi="宋体" w:cs="宋体"/>
                <w:b/>
                <w:bCs/>
                <w:highlight w:val="none"/>
              </w:rPr>
              <w:t>序号</w:t>
            </w:r>
          </w:p>
        </w:tc>
        <w:tc>
          <w:tcPr>
            <w:tcW w:w="324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b/>
                <w:bCs/>
                <w:highlight w:val="none"/>
              </w:rPr>
            </w:pPr>
            <w:r>
              <w:rPr>
                <w:rFonts w:hint="eastAsia" w:ascii="宋体" w:hAnsi="宋体" w:cs="宋体"/>
                <w:b/>
                <w:bCs/>
                <w:highlight w:val="none"/>
              </w:rPr>
              <w:t>合同名称</w:t>
            </w:r>
          </w:p>
        </w:tc>
        <w:tc>
          <w:tcPr>
            <w:tcW w:w="175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b/>
                <w:bCs/>
                <w:highlight w:val="none"/>
              </w:rPr>
            </w:pPr>
            <w:r>
              <w:rPr>
                <w:rFonts w:hint="eastAsia" w:ascii="宋体" w:hAnsi="宋体" w:cs="宋体"/>
                <w:b/>
                <w:bCs/>
                <w:highlight w:val="none"/>
              </w:rPr>
              <w:t>合同签订时间</w:t>
            </w:r>
          </w:p>
        </w:tc>
        <w:tc>
          <w:tcPr>
            <w:tcW w:w="195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b/>
                <w:bCs/>
                <w:highlight w:val="none"/>
              </w:rPr>
            </w:pPr>
            <w:r>
              <w:rPr>
                <w:rFonts w:hint="eastAsia" w:ascii="宋体" w:hAnsi="宋体" w:cs="宋体"/>
                <w:b/>
                <w:bCs/>
                <w:highlight w:val="none"/>
              </w:rPr>
              <w:t>业主单位联系人、联系电话</w:t>
            </w:r>
          </w:p>
        </w:tc>
        <w:tc>
          <w:tcPr>
            <w:tcW w:w="203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b/>
                <w:bCs/>
                <w:highlight w:val="none"/>
              </w:rPr>
            </w:pPr>
            <w:r>
              <w:rPr>
                <w:rFonts w:hint="eastAsia" w:ascii="宋体" w:hAnsi="宋体" w:cs="宋体"/>
                <w:b/>
                <w:bCs/>
                <w:highlight w:val="none"/>
              </w:rPr>
              <w:t>证明文件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highlight w:val="none"/>
              </w:rPr>
            </w:pPr>
            <w:r>
              <w:rPr>
                <w:rFonts w:hint="eastAsia" w:ascii="宋体" w:hAnsi="宋体" w:cs="宋体"/>
                <w:highlight w:val="none"/>
              </w:rPr>
              <w:t>1</w:t>
            </w:r>
          </w:p>
        </w:tc>
        <w:tc>
          <w:tcPr>
            <w:tcW w:w="324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宋体"/>
                <w:highlight w:val="none"/>
              </w:rPr>
            </w:pPr>
          </w:p>
        </w:tc>
        <w:tc>
          <w:tcPr>
            <w:tcW w:w="1757"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宋体"/>
                <w:highlight w:val="none"/>
              </w:rPr>
            </w:pPr>
          </w:p>
        </w:tc>
        <w:tc>
          <w:tcPr>
            <w:tcW w:w="195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宋体"/>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highlight w:val="none"/>
              </w:rPr>
            </w:pPr>
            <w:r>
              <w:rPr>
                <w:rFonts w:hint="eastAsia" w:ascii="宋体" w:hAnsi="宋体" w:cs="宋体"/>
                <w:highlight w:val="none"/>
              </w:rPr>
              <w:t>见响应文件（）页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highlight w:val="none"/>
              </w:rPr>
            </w:pPr>
            <w:r>
              <w:rPr>
                <w:rFonts w:hint="eastAsia" w:ascii="宋体" w:hAnsi="宋体" w:cs="宋体"/>
                <w:highlight w:val="none"/>
              </w:rPr>
              <w:t>2</w:t>
            </w:r>
          </w:p>
        </w:tc>
        <w:tc>
          <w:tcPr>
            <w:tcW w:w="324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宋体"/>
                <w:highlight w:val="none"/>
              </w:rPr>
            </w:pPr>
          </w:p>
        </w:tc>
        <w:tc>
          <w:tcPr>
            <w:tcW w:w="1757"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宋体"/>
                <w:highlight w:val="none"/>
              </w:rPr>
            </w:pPr>
          </w:p>
        </w:tc>
        <w:tc>
          <w:tcPr>
            <w:tcW w:w="195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宋体"/>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highlight w:val="none"/>
              </w:rPr>
            </w:pPr>
            <w:r>
              <w:rPr>
                <w:rFonts w:hint="eastAsia" w:ascii="宋体" w:hAnsi="宋体" w:cs="宋体"/>
                <w:highlight w:val="none"/>
              </w:rPr>
              <w:t>见响应文件（）页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highlight w:val="none"/>
              </w:rPr>
            </w:pPr>
            <w:r>
              <w:rPr>
                <w:rFonts w:hint="eastAsia" w:ascii="宋体" w:hAnsi="宋体" w:cs="宋体"/>
                <w:highlight w:val="none"/>
              </w:rPr>
              <w:t>3</w:t>
            </w:r>
          </w:p>
        </w:tc>
        <w:tc>
          <w:tcPr>
            <w:tcW w:w="324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宋体"/>
                <w:highlight w:val="none"/>
              </w:rPr>
            </w:pPr>
          </w:p>
        </w:tc>
        <w:tc>
          <w:tcPr>
            <w:tcW w:w="1757"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宋体"/>
                <w:highlight w:val="none"/>
              </w:rPr>
            </w:pPr>
          </w:p>
        </w:tc>
        <w:tc>
          <w:tcPr>
            <w:tcW w:w="195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宋体"/>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highlight w:val="none"/>
              </w:rPr>
            </w:pPr>
            <w:r>
              <w:rPr>
                <w:rFonts w:hint="eastAsia" w:ascii="宋体" w:hAnsi="宋体" w:cs="宋体"/>
                <w:highlight w:val="none"/>
              </w:rPr>
              <w:t>见响应文件（）页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highlight w:val="none"/>
              </w:rPr>
            </w:pPr>
            <w:r>
              <w:rPr>
                <w:rFonts w:hint="eastAsia" w:ascii="宋体" w:hAnsi="宋体" w:cs="宋体"/>
                <w:highlight w:val="none"/>
              </w:rPr>
              <w:t>4</w:t>
            </w:r>
          </w:p>
        </w:tc>
        <w:tc>
          <w:tcPr>
            <w:tcW w:w="324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宋体"/>
                <w:highlight w:val="none"/>
              </w:rPr>
            </w:pPr>
          </w:p>
        </w:tc>
        <w:tc>
          <w:tcPr>
            <w:tcW w:w="1757"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宋体"/>
                <w:highlight w:val="none"/>
              </w:rPr>
            </w:pPr>
          </w:p>
        </w:tc>
        <w:tc>
          <w:tcPr>
            <w:tcW w:w="195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宋体"/>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highlight w:val="none"/>
              </w:rPr>
            </w:pPr>
            <w:r>
              <w:rPr>
                <w:rFonts w:hint="eastAsia" w:ascii="宋体" w:hAnsi="宋体" w:cs="宋体"/>
                <w:highlight w:val="none"/>
              </w:rPr>
              <w:t>见响应文件（）页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highlight w:val="none"/>
              </w:rPr>
            </w:pPr>
            <w:r>
              <w:rPr>
                <w:rFonts w:hint="eastAsia" w:ascii="宋体" w:hAnsi="宋体" w:cs="宋体"/>
                <w:highlight w:val="none"/>
              </w:rPr>
              <w:t>5</w:t>
            </w:r>
          </w:p>
        </w:tc>
        <w:tc>
          <w:tcPr>
            <w:tcW w:w="324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宋体"/>
                <w:highlight w:val="none"/>
              </w:rPr>
            </w:pPr>
          </w:p>
        </w:tc>
        <w:tc>
          <w:tcPr>
            <w:tcW w:w="1757"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宋体"/>
                <w:highlight w:val="none"/>
              </w:rPr>
            </w:pPr>
          </w:p>
        </w:tc>
        <w:tc>
          <w:tcPr>
            <w:tcW w:w="195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宋体"/>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highlight w:val="none"/>
              </w:rPr>
            </w:pPr>
            <w:r>
              <w:rPr>
                <w:rFonts w:hint="eastAsia" w:ascii="宋体" w:hAnsi="宋体" w:cs="宋体"/>
                <w:highlight w:val="none"/>
              </w:rPr>
              <w:t>见响应文件（）页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宋体"/>
                <w:highlight w:val="none"/>
              </w:rPr>
            </w:pPr>
            <w:r>
              <w:rPr>
                <w:rFonts w:hint="eastAsia" w:ascii="宋体" w:hAnsi="宋体" w:cs="宋体"/>
                <w:highlight w:val="none"/>
              </w:rPr>
              <w:t>…</w:t>
            </w:r>
          </w:p>
        </w:tc>
        <w:tc>
          <w:tcPr>
            <w:tcW w:w="324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宋体"/>
                <w:highlight w:val="none"/>
              </w:rPr>
            </w:pPr>
          </w:p>
        </w:tc>
        <w:tc>
          <w:tcPr>
            <w:tcW w:w="1757"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宋体"/>
                <w:highlight w:val="none"/>
              </w:rPr>
            </w:pPr>
          </w:p>
        </w:tc>
        <w:tc>
          <w:tcPr>
            <w:tcW w:w="195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cs="宋体"/>
                <w:highlight w:val="none"/>
              </w:rPr>
            </w:pPr>
          </w:p>
        </w:tc>
        <w:tc>
          <w:tcPr>
            <w:tcW w:w="2037" w:type="dxa"/>
            <w:tcBorders>
              <w:top w:val="single" w:color="auto" w:sz="6" w:space="0"/>
              <w:left w:val="single" w:color="auto" w:sz="6" w:space="0"/>
              <w:bottom w:val="single" w:color="auto" w:sz="6" w:space="0"/>
              <w:right w:val="single" w:color="auto" w:sz="6" w:space="0"/>
            </w:tcBorders>
          </w:tcPr>
          <w:p>
            <w:pPr>
              <w:rPr>
                <w:rFonts w:ascii="宋体" w:hAnsi="宋体" w:cs="宋体"/>
                <w:highlight w:val="none"/>
              </w:rPr>
            </w:pPr>
          </w:p>
        </w:tc>
      </w:tr>
    </w:tbl>
    <w:p>
      <w:pPr>
        <w:pStyle w:val="89"/>
        <w:spacing w:before="0" w:after="0" w:line="360" w:lineRule="auto"/>
        <w:rPr>
          <w:rFonts w:ascii="宋体" w:hAnsi="宋体" w:cs="宋体"/>
          <w:sz w:val="21"/>
          <w:szCs w:val="21"/>
          <w:highlight w:val="none"/>
        </w:rPr>
      </w:pPr>
      <w:r>
        <w:rPr>
          <w:rFonts w:hint="eastAsia" w:ascii="宋体" w:hAnsi="宋体" w:cs="宋体"/>
          <w:sz w:val="21"/>
          <w:szCs w:val="21"/>
          <w:highlight w:val="none"/>
        </w:rPr>
        <w:t>注：根据评审表的要求提交相应资料。</w:t>
      </w:r>
    </w:p>
    <w:p>
      <w:pPr>
        <w:pStyle w:val="89"/>
        <w:spacing w:before="0" w:after="0" w:line="360" w:lineRule="auto"/>
        <w:rPr>
          <w:rFonts w:ascii="宋体" w:hAnsi="宋体" w:cs="宋体"/>
          <w:sz w:val="21"/>
          <w:szCs w:val="21"/>
          <w:highlight w:val="none"/>
        </w:rPr>
      </w:pPr>
    </w:p>
    <w:p>
      <w:pPr>
        <w:pStyle w:val="89"/>
        <w:spacing w:before="0" w:after="0" w:line="360" w:lineRule="auto"/>
        <w:rPr>
          <w:rFonts w:ascii="宋体" w:hAnsi="宋体" w:cs="宋体"/>
          <w:sz w:val="21"/>
          <w:szCs w:val="21"/>
          <w:highlight w:val="none"/>
        </w:rPr>
      </w:pPr>
    </w:p>
    <w:p>
      <w:pPr>
        <w:pStyle w:val="3"/>
        <w:keepLines w:val="0"/>
        <w:widowControl w:val="0"/>
        <w:tabs>
          <w:tab w:val="left" w:pos="851"/>
        </w:tabs>
        <w:adjustRightInd/>
        <w:snapToGrid/>
        <w:jc w:val="both"/>
        <w:rPr>
          <w:rFonts w:hAnsi="宋体" w:cs="宋体"/>
          <w:b/>
          <w:sz w:val="21"/>
          <w:szCs w:val="21"/>
          <w:highlight w:val="none"/>
        </w:rPr>
      </w:pPr>
      <w:bookmarkStart w:id="2309" w:name="_Toc11946"/>
      <w:bookmarkStart w:id="2310" w:name="_Toc10569"/>
      <w:bookmarkStart w:id="2311" w:name="_Toc502737196"/>
      <w:bookmarkStart w:id="2312" w:name="_Toc30342"/>
      <w:bookmarkStart w:id="2313" w:name="_Toc3500"/>
      <w:bookmarkStart w:id="2314" w:name="_Toc535849056"/>
      <w:bookmarkStart w:id="2315" w:name="_Toc20534"/>
      <w:bookmarkStart w:id="2316" w:name="_Toc20139"/>
      <w:bookmarkStart w:id="2317" w:name="_Toc519164278"/>
      <w:r>
        <w:rPr>
          <w:rFonts w:hint="eastAsia" w:hAnsi="宋体" w:cs="宋体"/>
          <w:b/>
          <w:sz w:val="21"/>
          <w:szCs w:val="21"/>
          <w:highlight w:val="none"/>
        </w:rPr>
        <w:t>6.供应商获得认证或企业信誉证书一览表</w:t>
      </w:r>
      <w:bookmarkEnd w:id="2309"/>
      <w:bookmarkEnd w:id="2310"/>
      <w:bookmarkEnd w:id="2311"/>
      <w:bookmarkEnd w:id="2312"/>
      <w:bookmarkEnd w:id="2313"/>
      <w:bookmarkEnd w:id="2314"/>
      <w:bookmarkEnd w:id="2315"/>
      <w:bookmarkEnd w:id="2316"/>
      <w:bookmarkEnd w:id="2317"/>
    </w:p>
    <w:tbl>
      <w:tblPr>
        <w:tblStyle w:val="46"/>
        <w:tblW w:w="9628" w:type="dxa"/>
        <w:tblInd w:w="-116"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845"/>
        <w:gridCol w:w="2137"/>
        <w:gridCol w:w="1512"/>
        <w:gridCol w:w="1664"/>
        <w:gridCol w:w="201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456" w:type="dxa"/>
            <w:tcBorders>
              <w:top w:val="single" w:color="auto" w:sz="4" w:space="0"/>
              <w:left w:val="single" w:color="auto" w:sz="4" w:space="0"/>
              <w:bottom w:val="single" w:color="auto" w:sz="4" w:space="0"/>
            </w:tcBorders>
            <w:vAlign w:val="center"/>
          </w:tcPr>
          <w:p>
            <w:pPr>
              <w:jc w:val="center"/>
              <w:rPr>
                <w:rFonts w:ascii="宋体" w:hAnsi="宋体" w:cs="宋体"/>
                <w:b/>
                <w:bCs/>
                <w:szCs w:val="21"/>
                <w:highlight w:val="none"/>
              </w:rPr>
            </w:pPr>
            <w:r>
              <w:rPr>
                <w:rFonts w:hint="eastAsia" w:ascii="宋体" w:hAnsi="宋体" w:cs="宋体"/>
                <w:b/>
                <w:bCs/>
                <w:szCs w:val="21"/>
                <w:highlight w:val="none"/>
              </w:rPr>
              <w:t>序号</w:t>
            </w:r>
          </w:p>
        </w:tc>
        <w:tc>
          <w:tcPr>
            <w:tcW w:w="1845" w:type="dxa"/>
            <w:tcBorders>
              <w:top w:val="single" w:color="auto" w:sz="4" w:space="0"/>
              <w:left w:val="single" w:color="auto" w:sz="4" w:space="0"/>
              <w:bottom w:val="single" w:color="auto" w:sz="4" w:space="0"/>
            </w:tcBorders>
            <w:vAlign w:val="center"/>
          </w:tcPr>
          <w:p>
            <w:pPr>
              <w:jc w:val="center"/>
              <w:rPr>
                <w:rFonts w:ascii="宋体" w:hAnsi="宋体" w:cs="宋体"/>
                <w:b/>
                <w:bCs/>
                <w:szCs w:val="21"/>
                <w:highlight w:val="none"/>
              </w:rPr>
            </w:pPr>
            <w:r>
              <w:rPr>
                <w:rFonts w:hint="eastAsia" w:ascii="宋体" w:hAnsi="宋体" w:cs="宋体"/>
                <w:b/>
                <w:bCs/>
                <w:szCs w:val="21"/>
                <w:highlight w:val="none"/>
              </w:rPr>
              <w:t>证书名称</w:t>
            </w:r>
          </w:p>
        </w:tc>
        <w:tc>
          <w:tcPr>
            <w:tcW w:w="2137" w:type="dxa"/>
            <w:tcBorders>
              <w:top w:val="single" w:color="auto" w:sz="4" w:space="0"/>
              <w:bottom w:val="single" w:color="auto" w:sz="4" w:space="0"/>
            </w:tcBorders>
            <w:vAlign w:val="center"/>
          </w:tcPr>
          <w:p>
            <w:pPr>
              <w:jc w:val="center"/>
              <w:rPr>
                <w:rFonts w:ascii="宋体" w:hAnsi="宋体" w:cs="宋体"/>
                <w:b/>
                <w:bCs/>
                <w:szCs w:val="21"/>
                <w:highlight w:val="none"/>
              </w:rPr>
            </w:pPr>
            <w:r>
              <w:rPr>
                <w:rFonts w:hint="eastAsia" w:ascii="宋体" w:hAnsi="宋体" w:cs="宋体"/>
                <w:b/>
                <w:bCs/>
                <w:szCs w:val="21"/>
                <w:highlight w:val="none"/>
              </w:rPr>
              <w:t>发证单位</w:t>
            </w:r>
          </w:p>
        </w:tc>
        <w:tc>
          <w:tcPr>
            <w:tcW w:w="1512" w:type="dxa"/>
            <w:tcBorders>
              <w:top w:val="single" w:color="auto" w:sz="4" w:space="0"/>
              <w:bottom w:val="single" w:color="auto" w:sz="4" w:space="0"/>
            </w:tcBorders>
            <w:vAlign w:val="center"/>
          </w:tcPr>
          <w:p>
            <w:pPr>
              <w:jc w:val="center"/>
              <w:rPr>
                <w:rFonts w:ascii="宋体" w:hAnsi="宋体" w:cs="宋体"/>
                <w:b/>
                <w:bCs/>
                <w:szCs w:val="21"/>
                <w:highlight w:val="none"/>
              </w:rPr>
            </w:pPr>
            <w:r>
              <w:rPr>
                <w:rFonts w:hint="eastAsia" w:ascii="宋体" w:hAnsi="宋体" w:cs="宋体"/>
                <w:b/>
                <w:bCs/>
                <w:szCs w:val="21"/>
                <w:highlight w:val="none"/>
              </w:rPr>
              <w:t>证书等级</w:t>
            </w:r>
          </w:p>
        </w:tc>
        <w:tc>
          <w:tcPr>
            <w:tcW w:w="1664" w:type="dxa"/>
            <w:tcBorders>
              <w:top w:val="single" w:color="auto" w:sz="4" w:space="0"/>
              <w:bottom w:val="single" w:color="auto" w:sz="4" w:space="0"/>
              <w:right w:val="single" w:color="auto" w:sz="4" w:space="0"/>
            </w:tcBorders>
            <w:vAlign w:val="center"/>
          </w:tcPr>
          <w:p>
            <w:pPr>
              <w:jc w:val="center"/>
              <w:rPr>
                <w:rFonts w:ascii="宋体" w:hAnsi="宋体" w:cs="宋体"/>
                <w:b/>
                <w:bCs/>
                <w:szCs w:val="21"/>
                <w:highlight w:val="none"/>
              </w:rPr>
            </w:pPr>
            <w:r>
              <w:rPr>
                <w:rFonts w:hint="eastAsia" w:ascii="宋体" w:hAnsi="宋体" w:cs="宋体"/>
                <w:b/>
                <w:bCs/>
                <w:szCs w:val="21"/>
                <w:highlight w:val="none"/>
              </w:rPr>
              <w:t>证书有效期</w:t>
            </w:r>
          </w:p>
        </w:tc>
        <w:tc>
          <w:tcPr>
            <w:tcW w:w="2014" w:type="dxa"/>
            <w:tcBorders>
              <w:top w:val="single" w:color="auto" w:sz="4" w:space="0"/>
              <w:bottom w:val="single" w:color="auto" w:sz="4" w:space="0"/>
              <w:right w:val="single" w:color="auto" w:sz="4" w:space="0"/>
            </w:tcBorders>
            <w:vAlign w:val="center"/>
          </w:tcPr>
          <w:p>
            <w:pPr>
              <w:jc w:val="center"/>
              <w:rPr>
                <w:rFonts w:ascii="宋体" w:hAnsi="宋体" w:cs="宋体"/>
                <w:b/>
                <w:bCs/>
                <w:szCs w:val="21"/>
                <w:highlight w:val="none"/>
              </w:rPr>
            </w:pPr>
            <w:r>
              <w:rPr>
                <w:rFonts w:hint="eastAsia" w:ascii="宋体" w:hAnsi="宋体" w:cs="宋体"/>
                <w:b/>
                <w:bCs/>
                <w:szCs w:val="21"/>
                <w:highlight w:val="none"/>
              </w:rPr>
              <w:t>证明文件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tcBorders>
              <w:top w:val="single" w:color="auto" w:sz="4" w:space="0"/>
              <w:left w:val="single" w:color="auto" w:sz="4"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1</w:t>
            </w:r>
          </w:p>
        </w:tc>
        <w:tc>
          <w:tcPr>
            <w:tcW w:w="1845" w:type="dxa"/>
            <w:tcBorders>
              <w:top w:val="single" w:color="auto" w:sz="4" w:space="0"/>
              <w:left w:val="single" w:color="auto" w:sz="4" w:space="0"/>
            </w:tcBorders>
            <w:vAlign w:val="center"/>
          </w:tcPr>
          <w:p>
            <w:pPr>
              <w:spacing w:line="360" w:lineRule="auto"/>
              <w:jc w:val="center"/>
              <w:rPr>
                <w:rFonts w:ascii="宋体" w:hAnsi="宋体" w:cs="宋体"/>
                <w:szCs w:val="21"/>
                <w:highlight w:val="none"/>
              </w:rPr>
            </w:pPr>
          </w:p>
        </w:tc>
        <w:tc>
          <w:tcPr>
            <w:tcW w:w="2137" w:type="dxa"/>
            <w:tcBorders>
              <w:top w:val="single" w:color="auto" w:sz="4" w:space="0"/>
            </w:tcBorders>
            <w:vAlign w:val="center"/>
          </w:tcPr>
          <w:p>
            <w:pPr>
              <w:spacing w:line="360" w:lineRule="auto"/>
              <w:jc w:val="center"/>
              <w:rPr>
                <w:rFonts w:ascii="宋体" w:hAnsi="宋体" w:cs="宋体"/>
                <w:szCs w:val="21"/>
                <w:highlight w:val="none"/>
              </w:rPr>
            </w:pPr>
          </w:p>
        </w:tc>
        <w:tc>
          <w:tcPr>
            <w:tcW w:w="1512" w:type="dxa"/>
            <w:tcBorders>
              <w:top w:val="single" w:color="auto" w:sz="4" w:space="0"/>
            </w:tcBorders>
            <w:vAlign w:val="center"/>
          </w:tcPr>
          <w:p>
            <w:pPr>
              <w:spacing w:line="360" w:lineRule="auto"/>
              <w:jc w:val="center"/>
              <w:rPr>
                <w:rFonts w:ascii="宋体" w:hAnsi="宋体" w:cs="宋体"/>
                <w:szCs w:val="21"/>
                <w:highlight w:val="none"/>
              </w:rPr>
            </w:pPr>
          </w:p>
        </w:tc>
        <w:tc>
          <w:tcPr>
            <w:tcW w:w="1664" w:type="dxa"/>
            <w:tcBorders>
              <w:top w:val="single" w:color="auto" w:sz="4" w:space="0"/>
              <w:right w:val="single" w:color="auto" w:sz="4" w:space="0"/>
            </w:tcBorders>
            <w:vAlign w:val="center"/>
          </w:tcPr>
          <w:p>
            <w:pPr>
              <w:spacing w:line="360" w:lineRule="auto"/>
              <w:jc w:val="center"/>
              <w:rPr>
                <w:rFonts w:ascii="宋体" w:hAnsi="宋体" w:cs="宋体"/>
                <w:szCs w:val="21"/>
                <w:highlight w:val="none"/>
              </w:rPr>
            </w:pPr>
          </w:p>
        </w:tc>
        <w:tc>
          <w:tcPr>
            <w:tcW w:w="2014" w:type="dxa"/>
            <w:tcBorders>
              <w:top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见响应文件（）页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tcBorders>
              <w:left w:val="single" w:color="auto" w:sz="4"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2</w:t>
            </w:r>
          </w:p>
        </w:tc>
        <w:tc>
          <w:tcPr>
            <w:tcW w:w="1845" w:type="dxa"/>
            <w:tcBorders>
              <w:left w:val="single" w:color="auto" w:sz="4" w:space="0"/>
            </w:tcBorders>
            <w:vAlign w:val="center"/>
          </w:tcPr>
          <w:p>
            <w:pPr>
              <w:spacing w:line="360" w:lineRule="auto"/>
              <w:jc w:val="center"/>
              <w:rPr>
                <w:rFonts w:ascii="宋体" w:hAnsi="宋体" w:cs="宋体"/>
                <w:szCs w:val="21"/>
                <w:highlight w:val="none"/>
              </w:rPr>
            </w:pPr>
          </w:p>
        </w:tc>
        <w:tc>
          <w:tcPr>
            <w:tcW w:w="2137" w:type="dxa"/>
            <w:vAlign w:val="center"/>
          </w:tcPr>
          <w:p>
            <w:pPr>
              <w:spacing w:line="360" w:lineRule="auto"/>
              <w:jc w:val="center"/>
              <w:rPr>
                <w:rFonts w:ascii="宋体" w:hAnsi="宋体" w:cs="宋体"/>
                <w:szCs w:val="21"/>
                <w:highlight w:val="none"/>
              </w:rPr>
            </w:pPr>
          </w:p>
        </w:tc>
        <w:tc>
          <w:tcPr>
            <w:tcW w:w="1512" w:type="dxa"/>
            <w:vAlign w:val="center"/>
          </w:tcPr>
          <w:p>
            <w:pPr>
              <w:spacing w:line="360" w:lineRule="auto"/>
              <w:jc w:val="center"/>
              <w:rPr>
                <w:rFonts w:ascii="宋体" w:hAnsi="宋体" w:cs="宋体"/>
                <w:szCs w:val="21"/>
                <w:highlight w:val="none"/>
              </w:rPr>
            </w:pPr>
          </w:p>
        </w:tc>
        <w:tc>
          <w:tcPr>
            <w:tcW w:w="1664" w:type="dxa"/>
            <w:tcBorders>
              <w:right w:val="single" w:color="auto" w:sz="4" w:space="0"/>
            </w:tcBorders>
            <w:vAlign w:val="center"/>
          </w:tcPr>
          <w:p>
            <w:pPr>
              <w:spacing w:line="360" w:lineRule="auto"/>
              <w:jc w:val="center"/>
              <w:rPr>
                <w:rFonts w:ascii="宋体" w:hAnsi="宋体" w:cs="宋体"/>
                <w:szCs w:val="21"/>
                <w:highlight w:val="none"/>
              </w:rPr>
            </w:pPr>
          </w:p>
        </w:tc>
        <w:tc>
          <w:tcPr>
            <w:tcW w:w="2014" w:type="dxa"/>
            <w:tcBorders>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见响应文件（）页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tcBorders>
              <w:left w:val="single" w:color="auto" w:sz="4"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3</w:t>
            </w:r>
          </w:p>
        </w:tc>
        <w:tc>
          <w:tcPr>
            <w:tcW w:w="1845" w:type="dxa"/>
            <w:tcBorders>
              <w:left w:val="single" w:color="auto" w:sz="4" w:space="0"/>
            </w:tcBorders>
            <w:vAlign w:val="center"/>
          </w:tcPr>
          <w:p>
            <w:pPr>
              <w:spacing w:line="360" w:lineRule="auto"/>
              <w:jc w:val="center"/>
              <w:rPr>
                <w:rFonts w:ascii="宋体" w:hAnsi="宋体" w:cs="宋体"/>
                <w:szCs w:val="21"/>
                <w:highlight w:val="none"/>
              </w:rPr>
            </w:pPr>
          </w:p>
        </w:tc>
        <w:tc>
          <w:tcPr>
            <w:tcW w:w="2137" w:type="dxa"/>
            <w:vAlign w:val="center"/>
          </w:tcPr>
          <w:p>
            <w:pPr>
              <w:spacing w:line="360" w:lineRule="auto"/>
              <w:jc w:val="center"/>
              <w:rPr>
                <w:rFonts w:ascii="宋体" w:hAnsi="宋体" w:cs="宋体"/>
                <w:szCs w:val="21"/>
                <w:highlight w:val="none"/>
              </w:rPr>
            </w:pPr>
          </w:p>
        </w:tc>
        <w:tc>
          <w:tcPr>
            <w:tcW w:w="1512" w:type="dxa"/>
            <w:vAlign w:val="center"/>
          </w:tcPr>
          <w:p>
            <w:pPr>
              <w:spacing w:line="360" w:lineRule="auto"/>
              <w:jc w:val="center"/>
              <w:rPr>
                <w:rFonts w:ascii="宋体" w:hAnsi="宋体" w:cs="宋体"/>
                <w:szCs w:val="21"/>
                <w:highlight w:val="none"/>
              </w:rPr>
            </w:pPr>
          </w:p>
        </w:tc>
        <w:tc>
          <w:tcPr>
            <w:tcW w:w="1664" w:type="dxa"/>
            <w:tcBorders>
              <w:right w:val="single" w:color="auto" w:sz="4" w:space="0"/>
            </w:tcBorders>
            <w:vAlign w:val="center"/>
          </w:tcPr>
          <w:p>
            <w:pPr>
              <w:spacing w:line="360" w:lineRule="auto"/>
              <w:jc w:val="center"/>
              <w:rPr>
                <w:rFonts w:ascii="宋体" w:hAnsi="宋体" w:cs="宋体"/>
                <w:szCs w:val="21"/>
                <w:highlight w:val="none"/>
              </w:rPr>
            </w:pPr>
          </w:p>
        </w:tc>
        <w:tc>
          <w:tcPr>
            <w:tcW w:w="2014" w:type="dxa"/>
            <w:tcBorders>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见响应文件（）页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tcBorders>
              <w:left w:val="single" w:color="auto" w:sz="4"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4</w:t>
            </w:r>
          </w:p>
        </w:tc>
        <w:tc>
          <w:tcPr>
            <w:tcW w:w="1845" w:type="dxa"/>
            <w:tcBorders>
              <w:left w:val="single" w:color="auto" w:sz="4" w:space="0"/>
            </w:tcBorders>
            <w:vAlign w:val="center"/>
          </w:tcPr>
          <w:p>
            <w:pPr>
              <w:spacing w:line="360" w:lineRule="auto"/>
              <w:jc w:val="center"/>
              <w:rPr>
                <w:rFonts w:ascii="宋体" w:hAnsi="宋体" w:cs="宋体"/>
                <w:szCs w:val="21"/>
                <w:highlight w:val="none"/>
              </w:rPr>
            </w:pPr>
          </w:p>
        </w:tc>
        <w:tc>
          <w:tcPr>
            <w:tcW w:w="2137" w:type="dxa"/>
            <w:vAlign w:val="center"/>
          </w:tcPr>
          <w:p>
            <w:pPr>
              <w:spacing w:line="360" w:lineRule="auto"/>
              <w:jc w:val="center"/>
              <w:rPr>
                <w:rFonts w:ascii="宋体" w:hAnsi="宋体" w:cs="宋体"/>
                <w:szCs w:val="21"/>
                <w:highlight w:val="none"/>
              </w:rPr>
            </w:pPr>
          </w:p>
        </w:tc>
        <w:tc>
          <w:tcPr>
            <w:tcW w:w="1512" w:type="dxa"/>
            <w:vAlign w:val="center"/>
          </w:tcPr>
          <w:p>
            <w:pPr>
              <w:spacing w:line="360" w:lineRule="auto"/>
              <w:jc w:val="center"/>
              <w:rPr>
                <w:rFonts w:ascii="宋体" w:hAnsi="宋体" w:cs="宋体"/>
                <w:szCs w:val="21"/>
                <w:highlight w:val="none"/>
              </w:rPr>
            </w:pPr>
          </w:p>
        </w:tc>
        <w:tc>
          <w:tcPr>
            <w:tcW w:w="1664" w:type="dxa"/>
            <w:tcBorders>
              <w:right w:val="single" w:color="auto" w:sz="4" w:space="0"/>
            </w:tcBorders>
            <w:vAlign w:val="center"/>
          </w:tcPr>
          <w:p>
            <w:pPr>
              <w:spacing w:line="360" w:lineRule="auto"/>
              <w:jc w:val="center"/>
              <w:rPr>
                <w:rFonts w:ascii="宋体" w:hAnsi="宋体" w:cs="宋体"/>
                <w:szCs w:val="21"/>
                <w:highlight w:val="none"/>
              </w:rPr>
            </w:pPr>
          </w:p>
        </w:tc>
        <w:tc>
          <w:tcPr>
            <w:tcW w:w="2014" w:type="dxa"/>
            <w:tcBorders>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见响应文件（）页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tcBorders>
              <w:left w:val="single" w:color="auto" w:sz="4"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5</w:t>
            </w:r>
          </w:p>
        </w:tc>
        <w:tc>
          <w:tcPr>
            <w:tcW w:w="1845" w:type="dxa"/>
            <w:tcBorders>
              <w:left w:val="single" w:color="auto" w:sz="4" w:space="0"/>
            </w:tcBorders>
            <w:vAlign w:val="center"/>
          </w:tcPr>
          <w:p>
            <w:pPr>
              <w:spacing w:line="360" w:lineRule="auto"/>
              <w:jc w:val="center"/>
              <w:rPr>
                <w:rFonts w:ascii="宋体" w:hAnsi="宋体" w:cs="宋体"/>
                <w:szCs w:val="21"/>
                <w:highlight w:val="none"/>
              </w:rPr>
            </w:pPr>
          </w:p>
        </w:tc>
        <w:tc>
          <w:tcPr>
            <w:tcW w:w="2137" w:type="dxa"/>
            <w:vAlign w:val="center"/>
          </w:tcPr>
          <w:p>
            <w:pPr>
              <w:spacing w:line="360" w:lineRule="auto"/>
              <w:jc w:val="center"/>
              <w:rPr>
                <w:rFonts w:ascii="宋体" w:hAnsi="宋体" w:cs="宋体"/>
                <w:szCs w:val="21"/>
                <w:highlight w:val="none"/>
              </w:rPr>
            </w:pPr>
          </w:p>
        </w:tc>
        <w:tc>
          <w:tcPr>
            <w:tcW w:w="1512" w:type="dxa"/>
            <w:vAlign w:val="center"/>
          </w:tcPr>
          <w:p>
            <w:pPr>
              <w:spacing w:line="360" w:lineRule="auto"/>
              <w:jc w:val="center"/>
              <w:rPr>
                <w:rFonts w:ascii="宋体" w:hAnsi="宋体" w:cs="宋体"/>
                <w:szCs w:val="21"/>
                <w:highlight w:val="none"/>
              </w:rPr>
            </w:pPr>
          </w:p>
        </w:tc>
        <w:tc>
          <w:tcPr>
            <w:tcW w:w="1664" w:type="dxa"/>
            <w:tcBorders>
              <w:right w:val="single" w:color="auto" w:sz="4" w:space="0"/>
            </w:tcBorders>
            <w:vAlign w:val="center"/>
          </w:tcPr>
          <w:p>
            <w:pPr>
              <w:spacing w:line="360" w:lineRule="auto"/>
              <w:jc w:val="center"/>
              <w:rPr>
                <w:rFonts w:ascii="宋体" w:hAnsi="宋体" w:cs="宋体"/>
                <w:szCs w:val="21"/>
                <w:highlight w:val="none"/>
              </w:rPr>
            </w:pPr>
          </w:p>
        </w:tc>
        <w:tc>
          <w:tcPr>
            <w:tcW w:w="2014" w:type="dxa"/>
            <w:tcBorders>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见响应文件（）页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tcBorders>
              <w:left w:val="single" w:color="auto" w:sz="4"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6</w:t>
            </w:r>
          </w:p>
        </w:tc>
        <w:tc>
          <w:tcPr>
            <w:tcW w:w="1845" w:type="dxa"/>
            <w:tcBorders>
              <w:left w:val="single" w:color="auto" w:sz="4" w:space="0"/>
            </w:tcBorders>
            <w:vAlign w:val="center"/>
          </w:tcPr>
          <w:p>
            <w:pPr>
              <w:spacing w:line="360" w:lineRule="auto"/>
              <w:jc w:val="center"/>
              <w:rPr>
                <w:rFonts w:ascii="宋体" w:hAnsi="宋体" w:cs="宋体"/>
                <w:szCs w:val="21"/>
                <w:highlight w:val="none"/>
              </w:rPr>
            </w:pPr>
          </w:p>
        </w:tc>
        <w:tc>
          <w:tcPr>
            <w:tcW w:w="2137" w:type="dxa"/>
            <w:vAlign w:val="center"/>
          </w:tcPr>
          <w:p>
            <w:pPr>
              <w:spacing w:line="360" w:lineRule="auto"/>
              <w:jc w:val="center"/>
              <w:rPr>
                <w:rFonts w:ascii="宋体" w:hAnsi="宋体" w:cs="宋体"/>
                <w:szCs w:val="21"/>
                <w:highlight w:val="none"/>
              </w:rPr>
            </w:pPr>
          </w:p>
        </w:tc>
        <w:tc>
          <w:tcPr>
            <w:tcW w:w="1512" w:type="dxa"/>
            <w:vAlign w:val="center"/>
          </w:tcPr>
          <w:p>
            <w:pPr>
              <w:spacing w:line="360" w:lineRule="auto"/>
              <w:jc w:val="center"/>
              <w:rPr>
                <w:rFonts w:ascii="宋体" w:hAnsi="宋体" w:cs="宋体"/>
                <w:szCs w:val="21"/>
                <w:highlight w:val="none"/>
              </w:rPr>
            </w:pPr>
          </w:p>
        </w:tc>
        <w:tc>
          <w:tcPr>
            <w:tcW w:w="1664" w:type="dxa"/>
            <w:tcBorders>
              <w:right w:val="single" w:color="auto" w:sz="4" w:space="0"/>
            </w:tcBorders>
            <w:vAlign w:val="center"/>
          </w:tcPr>
          <w:p>
            <w:pPr>
              <w:spacing w:line="360" w:lineRule="auto"/>
              <w:jc w:val="center"/>
              <w:rPr>
                <w:rFonts w:ascii="宋体" w:hAnsi="宋体" w:cs="宋体"/>
                <w:szCs w:val="21"/>
                <w:highlight w:val="none"/>
              </w:rPr>
            </w:pPr>
          </w:p>
        </w:tc>
        <w:tc>
          <w:tcPr>
            <w:tcW w:w="2014" w:type="dxa"/>
            <w:tcBorders>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见响应文件（）页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tcBorders>
              <w:left w:val="single" w:color="auto" w:sz="4" w:space="0"/>
              <w:bottom w:val="single" w:color="auto" w:sz="4"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w:t>
            </w:r>
          </w:p>
        </w:tc>
        <w:tc>
          <w:tcPr>
            <w:tcW w:w="1845" w:type="dxa"/>
            <w:tcBorders>
              <w:left w:val="single" w:color="auto" w:sz="4" w:space="0"/>
              <w:bottom w:val="single" w:color="auto" w:sz="4" w:space="0"/>
            </w:tcBorders>
            <w:vAlign w:val="center"/>
          </w:tcPr>
          <w:p>
            <w:pPr>
              <w:spacing w:line="360" w:lineRule="auto"/>
              <w:jc w:val="center"/>
              <w:rPr>
                <w:rFonts w:ascii="宋体" w:hAnsi="宋体" w:cs="宋体"/>
                <w:szCs w:val="21"/>
                <w:highlight w:val="none"/>
              </w:rPr>
            </w:pPr>
          </w:p>
        </w:tc>
        <w:tc>
          <w:tcPr>
            <w:tcW w:w="2137" w:type="dxa"/>
            <w:tcBorders>
              <w:bottom w:val="single" w:color="auto" w:sz="4" w:space="0"/>
            </w:tcBorders>
            <w:vAlign w:val="center"/>
          </w:tcPr>
          <w:p>
            <w:pPr>
              <w:spacing w:line="360" w:lineRule="auto"/>
              <w:jc w:val="center"/>
              <w:rPr>
                <w:rFonts w:ascii="宋体" w:hAnsi="宋体" w:cs="宋体"/>
                <w:szCs w:val="21"/>
                <w:highlight w:val="none"/>
              </w:rPr>
            </w:pPr>
          </w:p>
        </w:tc>
        <w:tc>
          <w:tcPr>
            <w:tcW w:w="1512" w:type="dxa"/>
            <w:tcBorders>
              <w:bottom w:val="single" w:color="auto" w:sz="4" w:space="0"/>
            </w:tcBorders>
            <w:vAlign w:val="center"/>
          </w:tcPr>
          <w:p>
            <w:pPr>
              <w:spacing w:line="360" w:lineRule="auto"/>
              <w:jc w:val="center"/>
              <w:rPr>
                <w:rFonts w:ascii="宋体" w:hAnsi="宋体" w:cs="宋体"/>
                <w:szCs w:val="21"/>
                <w:highlight w:val="none"/>
              </w:rPr>
            </w:pPr>
          </w:p>
        </w:tc>
        <w:tc>
          <w:tcPr>
            <w:tcW w:w="1664" w:type="dxa"/>
            <w:tcBorders>
              <w:bottom w:val="single" w:color="auto" w:sz="4" w:space="0"/>
              <w:right w:val="single" w:color="auto" w:sz="4" w:space="0"/>
            </w:tcBorders>
            <w:vAlign w:val="center"/>
          </w:tcPr>
          <w:p>
            <w:pPr>
              <w:spacing w:line="360" w:lineRule="auto"/>
              <w:jc w:val="center"/>
              <w:rPr>
                <w:rFonts w:ascii="宋体" w:hAnsi="宋体" w:cs="宋体"/>
                <w:szCs w:val="21"/>
                <w:highlight w:val="none"/>
              </w:rPr>
            </w:pPr>
          </w:p>
        </w:tc>
        <w:tc>
          <w:tcPr>
            <w:tcW w:w="2014" w:type="dxa"/>
            <w:tcBorders>
              <w:bottom w:val="single" w:color="auto" w:sz="4" w:space="0"/>
              <w:right w:val="single" w:color="auto" w:sz="4" w:space="0"/>
            </w:tcBorders>
            <w:vAlign w:val="center"/>
          </w:tcPr>
          <w:p>
            <w:pPr>
              <w:jc w:val="center"/>
              <w:rPr>
                <w:rFonts w:ascii="宋体" w:hAnsi="宋体" w:cs="宋体"/>
                <w:szCs w:val="21"/>
                <w:highlight w:val="none"/>
              </w:rPr>
            </w:pPr>
          </w:p>
        </w:tc>
      </w:tr>
    </w:tbl>
    <w:p>
      <w:pPr>
        <w:pStyle w:val="89"/>
        <w:spacing w:before="0" w:after="0" w:line="360" w:lineRule="auto"/>
        <w:rPr>
          <w:rFonts w:ascii="宋体" w:hAnsi="宋体" w:cs="宋体"/>
          <w:sz w:val="21"/>
          <w:szCs w:val="21"/>
          <w:highlight w:val="none"/>
        </w:rPr>
      </w:pPr>
      <w:r>
        <w:rPr>
          <w:rFonts w:hint="eastAsia" w:ascii="宋体" w:hAnsi="宋体" w:cs="宋体"/>
          <w:sz w:val="21"/>
          <w:szCs w:val="21"/>
          <w:highlight w:val="none"/>
        </w:rPr>
        <w:t>要求：请提供本表所列的证书资料。</w:t>
      </w:r>
    </w:p>
    <w:p>
      <w:pPr>
        <w:rPr>
          <w:rFonts w:ascii="宋体" w:hAnsi="宋体" w:cs="宋体"/>
          <w:highlight w:val="none"/>
        </w:rPr>
      </w:pPr>
      <w:r>
        <w:rPr>
          <w:rFonts w:hint="eastAsia" w:ascii="宋体" w:hAnsi="宋体" w:cs="宋体"/>
          <w:b/>
          <w:szCs w:val="21"/>
          <w:highlight w:val="none"/>
        </w:rPr>
        <w:br w:type="page"/>
      </w:r>
    </w:p>
    <w:p>
      <w:pPr>
        <w:pStyle w:val="3"/>
        <w:keepLines w:val="0"/>
        <w:widowControl w:val="0"/>
        <w:tabs>
          <w:tab w:val="left" w:pos="851"/>
        </w:tabs>
        <w:adjustRightInd/>
        <w:snapToGrid/>
        <w:jc w:val="both"/>
        <w:rPr>
          <w:rFonts w:hAnsi="宋体" w:cs="宋体"/>
          <w:b/>
          <w:sz w:val="21"/>
          <w:szCs w:val="21"/>
          <w:highlight w:val="none"/>
        </w:rPr>
      </w:pPr>
      <w:bookmarkStart w:id="2318" w:name="_Toc16837"/>
      <w:bookmarkStart w:id="2319" w:name="_Toc8442"/>
      <w:bookmarkStart w:id="2320" w:name="_Toc6933"/>
      <w:bookmarkStart w:id="2321" w:name="_Toc508901693"/>
      <w:bookmarkStart w:id="2322" w:name="_Toc484599512"/>
      <w:bookmarkStart w:id="2323" w:name="_Toc13618"/>
      <w:bookmarkStart w:id="2324" w:name="_Toc520732348"/>
      <w:bookmarkStart w:id="2325" w:name="_Toc17346"/>
      <w:bookmarkStart w:id="2326" w:name="_Toc508619370"/>
      <w:bookmarkStart w:id="2327" w:name="_Toc508036030"/>
      <w:bookmarkStart w:id="2328" w:name="_Toc500260812"/>
      <w:bookmarkStart w:id="2329" w:name="_Toc32137"/>
      <w:bookmarkStart w:id="2330" w:name="_Toc475522385"/>
      <w:bookmarkStart w:id="2331" w:name="_Toc524355939"/>
      <w:bookmarkStart w:id="2332" w:name="_Toc476"/>
      <w:bookmarkStart w:id="2333" w:name="_Toc27793"/>
      <w:bookmarkStart w:id="2334" w:name="_Toc22686"/>
      <w:bookmarkStart w:id="2335" w:name="_Toc5294839"/>
      <w:bookmarkStart w:id="2336" w:name="_Toc21695"/>
      <w:bookmarkStart w:id="2337" w:name="_Toc29729"/>
      <w:r>
        <w:rPr>
          <w:rFonts w:hint="eastAsia" w:hAnsi="宋体" w:cs="宋体"/>
          <w:b/>
          <w:sz w:val="21"/>
          <w:szCs w:val="21"/>
          <w:highlight w:val="none"/>
        </w:rPr>
        <w:t>7.</w:t>
      </w:r>
      <w:r>
        <w:rPr>
          <w:rFonts w:hint="eastAsia" w:hAnsi="宋体" w:cs="宋体"/>
          <w:b/>
          <w:sz w:val="21"/>
          <w:szCs w:val="21"/>
          <w:highlight w:val="none"/>
          <w:lang w:val="en-US" w:eastAsia="zh-CN"/>
        </w:rPr>
        <w:t>用户</w:t>
      </w:r>
      <w:r>
        <w:rPr>
          <w:rFonts w:hint="eastAsia" w:hAnsi="宋体" w:cs="宋体"/>
          <w:b/>
          <w:sz w:val="21"/>
          <w:szCs w:val="21"/>
          <w:highlight w:val="none"/>
        </w:rPr>
        <w:t>需求实质性响应条款一览表</w:t>
      </w:r>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p>
    <w:tbl>
      <w:tblPr>
        <w:tblStyle w:val="46"/>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101"/>
        <w:gridCol w:w="2625"/>
        <w:gridCol w:w="1575"/>
        <w:gridCol w:w="1452"/>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7" w:type="dxa"/>
            <w:vAlign w:val="center"/>
          </w:tcPr>
          <w:p>
            <w:pPr>
              <w:jc w:val="center"/>
              <w:rPr>
                <w:rFonts w:ascii="宋体" w:hAnsi="宋体" w:cs="宋体"/>
                <w:b/>
                <w:highlight w:val="none"/>
              </w:rPr>
            </w:pPr>
            <w:r>
              <w:rPr>
                <w:rFonts w:hint="eastAsia" w:ascii="宋体" w:hAnsi="宋体" w:cs="宋体"/>
                <w:b/>
                <w:highlight w:val="none"/>
              </w:rPr>
              <w:t>序号</w:t>
            </w:r>
          </w:p>
        </w:tc>
        <w:tc>
          <w:tcPr>
            <w:tcW w:w="2101" w:type="dxa"/>
            <w:vAlign w:val="center"/>
          </w:tcPr>
          <w:p>
            <w:pPr>
              <w:jc w:val="center"/>
              <w:rPr>
                <w:rFonts w:ascii="宋体" w:hAnsi="宋体" w:cs="宋体"/>
                <w:b/>
                <w:highlight w:val="none"/>
              </w:rPr>
            </w:pPr>
            <w:r>
              <w:rPr>
                <w:rFonts w:hint="eastAsia" w:ascii="宋体" w:hAnsi="宋体" w:cs="宋体"/>
                <w:b/>
                <w:highlight w:val="none"/>
              </w:rPr>
              <w:t>磋商文件要求</w:t>
            </w:r>
          </w:p>
        </w:tc>
        <w:tc>
          <w:tcPr>
            <w:tcW w:w="2625" w:type="dxa"/>
            <w:vAlign w:val="center"/>
          </w:tcPr>
          <w:p>
            <w:pPr>
              <w:jc w:val="center"/>
              <w:rPr>
                <w:rFonts w:ascii="宋体" w:hAnsi="宋体" w:cs="宋体"/>
                <w:b/>
                <w:highlight w:val="none"/>
              </w:rPr>
            </w:pPr>
            <w:r>
              <w:rPr>
                <w:rFonts w:hint="eastAsia" w:ascii="宋体" w:hAnsi="宋体" w:cs="宋体"/>
                <w:b/>
                <w:highlight w:val="none"/>
              </w:rPr>
              <w:t>响应文件响应</w:t>
            </w:r>
          </w:p>
        </w:tc>
        <w:tc>
          <w:tcPr>
            <w:tcW w:w="1575" w:type="dxa"/>
            <w:vAlign w:val="center"/>
          </w:tcPr>
          <w:p>
            <w:pPr>
              <w:jc w:val="center"/>
              <w:rPr>
                <w:rFonts w:ascii="宋体" w:hAnsi="宋体" w:cs="宋体"/>
                <w:b/>
                <w:highlight w:val="none"/>
              </w:rPr>
            </w:pPr>
            <w:r>
              <w:rPr>
                <w:rFonts w:hint="eastAsia" w:ascii="宋体" w:hAnsi="宋体" w:cs="宋体"/>
                <w:b/>
                <w:highlight w:val="none"/>
              </w:rPr>
              <w:t>响应/偏离</w:t>
            </w:r>
          </w:p>
        </w:tc>
        <w:tc>
          <w:tcPr>
            <w:tcW w:w="1452" w:type="dxa"/>
            <w:vAlign w:val="center"/>
          </w:tcPr>
          <w:p>
            <w:pPr>
              <w:jc w:val="center"/>
              <w:rPr>
                <w:rFonts w:ascii="宋体" w:hAnsi="宋体" w:cs="宋体"/>
                <w:b/>
                <w:highlight w:val="none"/>
              </w:rPr>
            </w:pPr>
            <w:r>
              <w:rPr>
                <w:rFonts w:hint="eastAsia" w:ascii="宋体" w:hAnsi="宋体" w:cs="宋体"/>
                <w:b/>
                <w:highlight w:val="none"/>
              </w:rPr>
              <w:t>偏离简述</w:t>
            </w:r>
          </w:p>
        </w:tc>
        <w:tc>
          <w:tcPr>
            <w:tcW w:w="1348" w:type="dxa"/>
            <w:vAlign w:val="center"/>
          </w:tcPr>
          <w:p>
            <w:pPr>
              <w:jc w:val="center"/>
              <w:rPr>
                <w:rFonts w:ascii="宋体" w:hAnsi="宋体" w:cs="宋体"/>
                <w:b/>
                <w:highlight w:val="none"/>
              </w:rPr>
            </w:pPr>
            <w:r>
              <w:rPr>
                <w:rFonts w:hint="eastAsia" w:ascii="宋体" w:hAnsi="宋体" w:cs="宋体"/>
                <w:b/>
                <w:highlight w:val="none"/>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7" w:type="dxa"/>
            <w:vAlign w:val="center"/>
          </w:tcPr>
          <w:p>
            <w:pPr>
              <w:rPr>
                <w:rFonts w:ascii="宋体" w:hAnsi="宋体" w:cs="宋体"/>
                <w:highlight w:val="none"/>
              </w:rPr>
            </w:pPr>
            <w:r>
              <w:rPr>
                <w:rFonts w:hint="eastAsia" w:ascii="宋体" w:hAnsi="宋体" w:cs="宋体"/>
                <w:highlight w:val="none"/>
              </w:rPr>
              <w:t>1</w:t>
            </w:r>
          </w:p>
        </w:tc>
        <w:tc>
          <w:tcPr>
            <w:tcW w:w="2101" w:type="dxa"/>
            <w:vAlign w:val="center"/>
          </w:tcPr>
          <w:p>
            <w:pPr>
              <w:rPr>
                <w:rFonts w:ascii="宋体" w:hAnsi="宋体" w:cs="宋体"/>
                <w:highlight w:val="none"/>
              </w:rPr>
            </w:pPr>
          </w:p>
        </w:tc>
        <w:tc>
          <w:tcPr>
            <w:tcW w:w="2625" w:type="dxa"/>
            <w:vAlign w:val="center"/>
          </w:tcPr>
          <w:p>
            <w:pPr>
              <w:rPr>
                <w:rFonts w:ascii="宋体" w:hAnsi="宋体" w:cs="宋体"/>
                <w:highlight w:val="none"/>
              </w:rPr>
            </w:pPr>
          </w:p>
        </w:tc>
        <w:tc>
          <w:tcPr>
            <w:tcW w:w="1575" w:type="dxa"/>
            <w:vAlign w:val="center"/>
          </w:tcPr>
          <w:p>
            <w:pPr>
              <w:rPr>
                <w:rFonts w:ascii="宋体" w:hAnsi="宋体" w:cs="宋体"/>
                <w:highlight w:val="none"/>
              </w:rPr>
            </w:pPr>
          </w:p>
        </w:tc>
        <w:tc>
          <w:tcPr>
            <w:tcW w:w="1452" w:type="dxa"/>
            <w:vAlign w:val="center"/>
          </w:tcPr>
          <w:p>
            <w:pPr>
              <w:rPr>
                <w:rFonts w:ascii="宋体" w:hAnsi="宋体" w:cs="宋体"/>
                <w:highlight w:val="none"/>
              </w:rPr>
            </w:pPr>
          </w:p>
        </w:tc>
        <w:tc>
          <w:tcPr>
            <w:tcW w:w="1348" w:type="dxa"/>
          </w:tcPr>
          <w:p>
            <w:pPr>
              <w:rPr>
                <w:rFonts w:ascii="宋体" w:hAnsi="宋体" w:cs="宋体"/>
                <w:highlight w:val="none"/>
              </w:rPr>
            </w:pPr>
            <w:r>
              <w:rPr>
                <w:rFonts w:hint="eastAsia" w:ascii="宋体" w:hAnsi="宋体" w:cs="宋体"/>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7" w:type="dxa"/>
            <w:vAlign w:val="center"/>
          </w:tcPr>
          <w:p>
            <w:pPr>
              <w:rPr>
                <w:rFonts w:ascii="宋体" w:hAnsi="宋体" w:cs="宋体"/>
                <w:highlight w:val="none"/>
              </w:rPr>
            </w:pPr>
            <w:r>
              <w:rPr>
                <w:rFonts w:hint="eastAsia" w:ascii="宋体" w:hAnsi="宋体" w:cs="宋体"/>
                <w:highlight w:val="none"/>
              </w:rPr>
              <w:t>2</w:t>
            </w:r>
          </w:p>
        </w:tc>
        <w:tc>
          <w:tcPr>
            <w:tcW w:w="2101" w:type="dxa"/>
            <w:vAlign w:val="center"/>
          </w:tcPr>
          <w:p>
            <w:pPr>
              <w:rPr>
                <w:rFonts w:ascii="宋体" w:hAnsi="宋体" w:cs="宋体"/>
                <w:highlight w:val="none"/>
              </w:rPr>
            </w:pPr>
          </w:p>
        </w:tc>
        <w:tc>
          <w:tcPr>
            <w:tcW w:w="2625" w:type="dxa"/>
            <w:vAlign w:val="center"/>
          </w:tcPr>
          <w:p>
            <w:pPr>
              <w:rPr>
                <w:rFonts w:ascii="宋体" w:hAnsi="宋体" w:cs="宋体"/>
                <w:highlight w:val="none"/>
              </w:rPr>
            </w:pPr>
          </w:p>
        </w:tc>
        <w:tc>
          <w:tcPr>
            <w:tcW w:w="1575" w:type="dxa"/>
            <w:vAlign w:val="center"/>
          </w:tcPr>
          <w:p>
            <w:pPr>
              <w:rPr>
                <w:rFonts w:ascii="宋体" w:hAnsi="宋体" w:cs="宋体"/>
                <w:highlight w:val="none"/>
              </w:rPr>
            </w:pPr>
          </w:p>
        </w:tc>
        <w:tc>
          <w:tcPr>
            <w:tcW w:w="1452" w:type="dxa"/>
            <w:vAlign w:val="center"/>
          </w:tcPr>
          <w:p>
            <w:pPr>
              <w:rPr>
                <w:rFonts w:ascii="宋体" w:hAnsi="宋体" w:cs="宋体"/>
                <w:highlight w:val="none"/>
              </w:rPr>
            </w:pPr>
          </w:p>
        </w:tc>
        <w:tc>
          <w:tcPr>
            <w:tcW w:w="1348" w:type="dxa"/>
          </w:tcPr>
          <w:p>
            <w:pPr>
              <w:rPr>
                <w:rFonts w:ascii="宋体" w:hAnsi="宋体" w:cs="宋体"/>
                <w:highlight w:val="none"/>
              </w:rPr>
            </w:pPr>
            <w:r>
              <w:rPr>
                <w:rFonts w:hint="eastAsia" w:ascii="宋体" w:hAnsi="宋体" w:cs="宋体"/>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7" w:type="dxa"/>
            <w:vAlign w:val="center"/>
          </w:tcPr>
          <w:p>
            <w:pPr>
              <w:rPr>
                <w:rFonts w:ascii="宋体" w:hAnsi="宋体" w:cs="宋体"/>
                <w:highlight w:val="none"/>
              </w:rPr>
            </w:pPr>
            <w:r>
              <w:rPr>
                <w:rFonts w:hint="eastAsia" w:ascii="宋体" w:hAnsi="宋体" w:cs="宋体"/>
                <w:highlight w:val="none"/>
              </w:rPr>
              <w:t>3</w:t>
            </w:r>
          </w:p>
        </w:tc>
        <w:tc>
          <w:tcPr>
            <w:tcW w:w="2101" w:type="dxa"/>
            <w:vAlign w:val="center"/>
          </w:tcPr>
          <w:p>
            <w:pPr>
              <w:rPr>
                <w:rFonts w:ascii="宋体" w:hAnsi="宋体" w:cs="宋体"/>
                <w:highlight w:val="none"/>
              </w:rPr>
            </w:pPr>
          </w:p>
        </w:tc>
        <w:tc>
          <w:tcPr>
            <w:tcW w:w="2625" w:type="dxa"/>
            <w:vAlign w:val="center"/>
          </w:tcPr>
          <w:p>
            <w:pPr>
              <w:rPr>
                <w:rFonts w:ascii="宋体" w:hAnsi="宋体" w:cs="宋体"/>
                <w:highlight w:val="none"/>
              </w:rPr>
            </w:pPr>
          </w:p>
        </w:tc>
        <w:tc>
          <w:tcPr>
            <w:tcW w:w="1575" w:type="dxa"/>
            <w:vAlign w:val="center"/>
          </w:tcPr>
          <w:p>
            <w:pPr>
              <w:rPr>
                <w:rFonts w:ascii="宋体" w:hAnsi="宋体" w:cs="宋体"/>
                <w:highlight w:val="none"/>
              </w:rPr>
            </w:pPr>
          </w:p>
        </w:tc>
        <w:tc>
          <w:tcPr>
            <w:tcW w:w="1452" w:type="dxa"/>
            <w:vAlign w:val="center"/>
          </w:tcPr>
          <w:p>
            <w:pPr>
              <w:rPr>
                <w:rFonts w:ascii="宋体" w:hAnsi="宋体" w:cs="宋体"/>
                <w:highlight w:val="none"/>
              </w:rPr>
            </w:pPr>
          </w:p>
        </w:tc>
        <w:tc>
          <w:tcPr>
            <w:tcW w:w="1348" w:type="dxa"/>
          </w:tcPr>
          <w:p>
            <w:pPr>
              <w:rPr>
                <w:rFonts w:ascii="宋体" w:hAnsi="宋体" w:cs="宋体"/>
                <w:highlight w:val="none"/>
              </w:rPr>
            </w:pPr>
            <w:r>
              <w:rPr>
                <w:rFonts w:hint="eastAsia" w:ascii="宋体" w:hAnsi="宋体" w:cs="宋体"/>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7" w:type="dxa"/>
            <w:vAlign w:val="center"/>
          </w:tcPr>
          <w:p>
            <w:pPr>
              <w:rPr>
                <w:rFonts w:ascii="宋体" w:hAnsi="宋体" w:cs="宋体"/>
                <w:highlight w:val="none"/>
              </w:rPr>
            </w:pPr>
            <w:r>
              <w:rPr>
                <w:rFonts w:hint="eastAsia" w:ascii="宋体" w:hAnsi="宋体" w:cs="宋体"/>
                <w:highlight w:val="none"/>
              </w:rPr>
              <w:t>4</w:t>
            </w:r>
          </w:p>
        </w:tc>
        <w:tc>
          <w:tcPr>
            <w:tcW w:w="2101" w:type="dxa"/>
            <w:vAlign w:val="center"/>
          </w:tcPr>
          <w:p>
            <w:pPr>
              <w:rPr>
                <w:rFonts w:ascii="宋体" w:hAnsi="宋体" w:cs="宋体"/>
                <w:highlight w:val="none"/>
              </w:rPr>
            </w:pPr>
          </w:p>
        </w:tc>
        <w:tc>
          <w:tcPr>
            <w:tcW w:w="2625" w:type="dxa"/>
            <w:vAlign w:val="center"/>
          </w:tcPr>
          <w:p>
            <w:pPr>
              <w:rPr>
                <w:rFonts w:ascii="宋体" w:hAnsi="宋体" w:cs="宋体"/>
                <w:highlight w:val="none"/>
              </w:rPr>
            </w:pPr>
          </w:p>
        </w:tc>
        <w:tc>
          <w:tcPr>
            <w:tcW w:w="1575" w:type="dxa"/>
            <w:vAlign w:val="center"/>
          </w:tcPr>
          <w:p>
            <w:pPr>
              <w:rPr>
                <w:rFonts w:ascii="宋体" w:hAnsi="宋体" w:cs="宋体"/>
                <w:highlight w:val="none"/>
              </w:rPr>
            </w:pPr>
          </w:p>
        </w:tc>
        <w:tc>
          <w:tcPr>
            <w:tcW w:w="1452" w:type="dxa"/>
            <w:vAlign w:val="center"/>
          </w:tcPr>
          <w:p>
            <w:pPr>
              <w:rPr>
                <w:rFonts w:ascii="宋体" w:hAnsi="宋体" w:cs="宋体"/>
                <w:highlight w:val="none"/>
              </w:rPr>
            </w:pPr>
          </w:p>
        </w:tc>
        <w:tc>
          <w:tcPr>
            <w:tcW w:w="1348" w:type="dxa"/>
          </w:tcPr>
          <w:p>
            <w:pPr>
              <w:rPr>
                <w:rFonts w:ascii="宋体" w:hAnsi="宋体" w:cs="宋体"/>
                <w:highlight w:val="none"/>
              </w:rPr>
            </w:pPr>
            <w:r>
              <w:rPr>
                <w:rFonts w:hint="eastAsia" w:ascii="宋体" w:hAnsi="宋体" w:cs="宋体"/>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7" w:type="dxa"/>
            <w:vAlign w:val="center"/>
          </w:tcPr>
          <w:p>
            <w:pPr>
              <w:rPr>
                <w:rFonts w:ascii="宋体" w:hAnsi="宋体" w:cs="宋体"/>
                <w:highlight w:val="none"/>
              </w:rPr>
            </w:pPr>
            <w:r>
              <w:rPr>
                <w:rFonts w:hint="eastAsia" w:ascii="宋体" w:hAnsi="宋体" w:cs="宋体"/>
                <w:highlight w:val="none"/>
              </w:rPr>
              <w:t>5</w:t>
            </w:r>
          </w:p>
        </w:tc>
        <w:tc>
          <w:tcPr>
            <w:tcW w:w="2101" w:type="dxa"/>
            <w:vAlign w:val="center"/>
          </w:tcPr>
          <w:p>
            <w:pPr>
              <w:rPr>
                <w:rFonts w:ascii="宋体" w:hAnsi="宋体" w:cs="宋体"/>
                <w:highlight w:val="none"/>
              </w:rPr>
            </w:pPr>
          </w:p>
        </w:tc>
        <w:tc>
          <w:tcPr>
            <w:tcW w:w="2625" w:type="dxa"/>
            <w:vAlign w:val="center"/>
          </w:tcPr>
          <w:p>
            <w:pPr>
              <w:rPr>
                <w:rFonts w:ascii="宋体" w:hAnsi="宋体" w:cs="宋体"/>
                <w:highlight w:val="none"/>
              </w:rPr>
            </w:pPr>
          </w:p>
        </w:tc>
        <w:tc>
          <w:tcPr>
            <w:tcW w:w="1575" w:type="dxa"/>
            <w:vAlign w:val="center"/>
          </w:tcPr>
          <w:p>
            <w:pPr>
              <w:rPr>
                <w:rFonts w:ascii="宋体" w:hAnsi="宋体" w:cs="宋体"/>
                <w:highlight w:val="none"/>
              </w:rPr>
            </w:pPr>
          </w:p>
        </w:tc>
        <w:tc>
          <w:tcPr>
            <w:tcW w:w="1452" w:type="dxa"/>
            <w:vAlign w:val="center"/>
          </w:tcPr>
          <w:p>
            <w:pPr>
              <w:rPr>
                <w:rFonts w:ascii="宋体" w:hAnsi="宋体" w:cs="宋体"/>
                <w:highlight w:val="none"/>
              </w:rPr>
            </w:pPr>
          </w:p>
        </w:tc>
        <w:tc>
          <w:tcPr>
            <w:tcW w:w="1348" w:type="dxa"/>
          </w:tcPr>
          <w:p>
            <w:pPr>
              <w:rPr>
                <w:rFonts w:ascii="宋体" w:hAnsi="宋体" w:cs="宋体"/>
                <w:highlight w:val="none"/>
              </w:rPr>
            </w:pPr>
            <w:r>
              <w:rPr>
                <w:rFonts w:hint="eastAsia" w:ascii="宋体" w:hAnsi="宋体" w:cs="宋体"/>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7" w:type="dxa"/>
            <w:vAlign w:val="center"/>
          </w:tcPr>
          <w:p>
            <w:pPr>
              <w:rPr>
                <w:rFonts w:ascii="宋体" w:hAnsi="宋体" w:cs="宋体"/>
                <w:highlight w:val="none"/>
              </w:rPr>
            </w:pPr>
            <w:r>
              <w:rPr>
                <w:rFonts w:hint="eastAsia" w:ascii="宋体" w:hAnsi="宋体" w:cs="宋体"/>
                <w:highlight w:val="none"/>
              </w:rPr>
              <w:t>6</w:t>
            </w:r>
          </w:p>
        </w:tc>
        <w:tc>
          <w:tcPr>
            <w:tcW w:w="2101" w:type="dxa"/>
            <w:vAlign w:val="center"/>
          </w:tcPr>
          <w:p>
            <w:pPr>
              <w:rPr>
                <w:rFonts w:ascii="宋体" w:hAnsi="宋体" w:cs="宋体"/>
                <w:highlight w:val="none"/>
              </w:rPr>
            </w:pPr>
          </w:p>
        </w:tc>
        <w:tc>
          <w:tcPr>
            <w:tcW w:w="2625" w:type="dxa"/>
            <w:vAlign w:val="center"/>
          </w:tcPr>
          <w:p>
            <w:pPr>
              <w:rPr>
                <w:rFonts w:ascii="宋体" w:hAnsi="宋体" w:cs="宋体"/>
                <w:highlight w:val="none"/>
              </w:rPr>
            </w:pPr>
          </w:p>
        </w:tc>
        <w:tc>
          <w:tcPr>
            <w:tcW w:w="1575" w:type="dxa"/>
            <w:vAlign w:val="center"/>
          </w:tcPr>
          <w:p>
            <w:pPr>
              <w:rPr>
                <w:rFonts w:ascii="宋体" w:hAnsi="宋体" w:cs="宋体"/>
                <w:highlight w:val="none"/>
              </w:rPr>
            </w:pPr>
          </w:p>
        </w:tc>
        <w:tc>
          <w:tcPr>
            <w:tcW w:w="1452" w:type="dxa"/>
            <w:vAlign w:val="center"/>
          </w:tcPr>
          <w:p>
            <w:pPr>
              <w:rPr>
                <w:rFonts w:ascii="宋体" w:hAnsi="宋体" w:cs="宋体"/>
                <w:highlight w:val="none"/>
              </w:rPr>
            </w:pPr>
          </w:p>
        </w:tc>
        <w:tc>
          <w:tcPr>
            <w:tcW w:w="1348" w:type="dxa"/>
          </w:tcPr>
          <w:p>
            <w:pPr>
              <w:rPr>
                <w:rFonts w:ascii="宋体" w:hAnsi="宋体" w:cs="宋体"/>
                <w:highlight w:val="none"/>
              </w:rPr>
            </w:pPr>
            <w:r>
              <w:rPr>
                <w:rFonts w:hint="eastAsia" w:ascii="宋体" w:hAnsi="宋体" w:cs="宋体"/>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7" w:type="dxa"/>
            <w:vAlign w:val="center"/>
          </w:tcPr>
          <w:p>
            <w:pPr>
              <w:rPr>
                <w:rFonts w:ascii="宋体" w:hAnsi="宋体" w:cs="宋体"/>
                <w:highlight w:val="none"/>
              </w:rPr>
            </w:pPr>
            <w:r>
              <w:rPr>
                <w:rFonts w:hint="eastAsia" w:ascii="宋体" w:hAnsi="宋体" w:cs="宋体"/>
                <w:highlight w:val="none"/>
              </w:rPr>
              <w:t>7</w:t>
            </w:r>
          </w:p>
        </w:tc>
        <w:tc>
          <w:tcPr>
            <w:tcW w:w="2101" w:type="dxa"/>
            <w:vAlign w:val="center"/>
          </w:tcPr>
          <w:p>
            <w:pPr>
              <w:rPr>
                <w:rFonts w:ascii="宋体" w:hAnsi="宋体" w:cs="宋体"/>
                <w:highlight w:val="none"/>
              </w:rPr>
            </w:pPr>
          </w:p>
        </w:tc>
        <w:tc>
          <w:tcPr>
            <w:tcW w:w="2625" w:type="dxa"/>
            <w:vAlign w:val="center"/>
          </w:tcPr>
          <w:p>
            <w:pPr>
              <w:rPr>
                <w:rFonts w:ascii="宋体" w:hAnsi="宋体" w:cs="宋体"/>
                <w:highlight w:val="none"/>
              </w:rPr>
            </w:pPr>
          </w:p>
        </w:tc>
        <w:tc>
          <w:tcPr>
            <w:tcW w:w="1575" w:type="dxa"/>
            <w:vAlign w:val="center"/>
          </w:tcPr>
          <w:p>
            <w:pPr>
              <w:rPr>
                <w:rFonts w:ascii="宋体" w:hAnsi="宋体" w:cs="宋体"/>
                <w:highlight w:val="none"/>
              </w:rPr>
            </w:pPr>
          </w:p>
        </w:tc>
        <w:tc>
          <w:tcPr>
            <w:tcW w:w="1452" w:type="dxa"/>
            <w:vAlign w:val="center"/>
          </w:tcPr>
          <w:p>
            <w:pPr>
              <w:rPr>
                <w:rFonts w:ascii="宋体" w:hAnsi="宋体" w:cs="宋体"/>
                <w:highlight w:val="none"/>
              </w:rPr>
            </w:pPr>
          </w:p>
        </w:tc>
        <w:tc>
          <w:tcPr>
            <w:tcW w:w="1348" w:type="dxa"/>
          </w:tcPr>
          <w:p>
            <w:pPr>
              <w:rPr>
                <w:rFonts w:ascii="宋体" w:hAnsi="宋体" w:cs="宋体"/>
                <w:highlight w:val="none"/>
              </w:rPr>
            </w:pPr>
            <w:r>
              <w:rPr>
                <w:rFonts w:hint="eastAsia" w:ascii="宋体" w:hAnsi="宋体" w:cs="宋体"/>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7" w:type="dxa"/>
            <w:vAlign w:val="center"/>
          </w:tcPr>
          <w:p>
            <w:pPr>
              <w:rPr>
                <w:rFonts w:ascii="宋体" w:hAnsi="宋体" w:cs="宋体"/>
                <w:highlight w:val="none"/>
              </w:rPr>
            </w:pPr>
            <w:r>
              <w:rPr>
                <w:rFonts w:hint="eastAsia" w:ascii="宋体" w:hAnsi="宋体" w:cs="宋体"/>
                <w:highlight w:val="none"/>
              </w:rPr>
              <w:t>8</w:t>
            </w:r>
          </w:p>
        </w:tc>
        <w:tc>
          <w:tcPr>
            <w:tcW w:w="2101" w:type="dxa"/>
            <w:vAlign w:val="center"/>
          </w:tcPr>
          <w:p>
            <w:pPr>
              <w:rPr>
                <w:rFonts w:ascii="宋体" w:hAnsi="宋体" w:cs="宋体"/>
                <w:highlight w:val="none"/>
              </w:rPr>
            </w:pPr>
          </w:p>
        </w:tc>
        <w:tc>
          <w:tcPr>
            <w:tcW w:w="2625" w:type="dxa"/>
            <w:vAlign w:val="center"/>
          </w:tcPr>
          <w:p>
            <w:pPr>
              <w:rPr>
                <w:rFonts w:ascii="宋体" w:hAnsi="宋体" w:cs="宋体"/>
                <w:highlight w:val="none"/>
              </w:rPr>
            </w:pPr>
          </w:p>
        </w:tc>
        <w:tc>
          <w:tcPr>
            <w:tcW w:w="1575" w:type="dxa"/>
            <w:vAlign w:val="center"/>
          </w:tcPr>
          <w:p>
            <w:pPr>
              <w:rPr>
                <w:rFonts w:ascii="宋体" w:hAnsi="宋体" w:cs="宋体"/>
                <w:highlight w:val="none"/>
              </w:rPr>
            </w:pPr>
          </w:p>
        </w:tc>
        <w:tc>
          <w:tcPr>
            <w:tcW w:w="1452" w:type="dxa"/>
            <w:vAlign w:val="center"/>
          </w:tcPr>
          <w:p>
            <w:pPr>
              <w:rPr>
                <w:rFonts w:ascii="宋体" w:hAnsi="宋体" w:cs="宋体"/>
                <w:highlight w:val="none"/>
              </w:rPr>
            </w:pPr>
          </w:p>
        </w:tc>
        <w:tc>
          <w:tcPr>
            <w:tcW w:w="1348" w:type="dxa"/>
          </w:tcPr>
          <w:p>
            <w:pPr>
              <w:rPr>
                <w:rFonts w:ascii="宋体" w:hAnsi="宋体" w:cs="宋体"/>
                <w:highlight w:val="none"/>
              </w:rPr>
            </w:pPr>
            <w:r>
              <w:rPr>
                <w:rFonts w:hint="eastAsia" w:ascii="宋体" w:hAnsi="宋体" w:cs="宋体"/>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7" w:type="dxa"/>
            <w:vAlign w:val="center"/>
          </w:tcPr>
          <w:p>
            <w:pPr>
              <w:rPr>
                <w:rFonts w:ascii="宋体" w:hAnsi="宋体" w:cs="宋体"/>
                <w:highlight w:val="none"/>
              </w:rPr>
            </w:pPr>
            <w:r>
              <w:rPr>
                <w:rFonts w:hint="eastAsia" w:ascii="宋体" w:hAnsi="宋体" w:cs="宋体"/>
                <w:highlight w:val="none"/>
              </w:rPr>
              <w:t>…</w:t>
            </w:r>
          </w:p>
        </w:tc>
        <w:tc>
          <w:tcPr>
            <w:tcW w:w="2101" w:type="dxa"/>
            <w:vAlign w:val="center"/>
          </w:tcPr>
          <w:p>
            <w:pPr>
              <w:rPr>
                <w:rFonts w:ascii="宋体" w:hAnsi="宋体" w:cs="宋体"/>
                <w:highlight w:val="none"/>
              </w:rPr>
            </w:pPr>
          </w:p>
        </w:tc>
        <w:tc>
          <w:tcPr>
            <w:tcW w:w="2625" w:type="dxa"/>
            <w:vAlign w:val="center"/>
          </w:tcPr>
          <w:p>
            <w:pPr>
              <w:rPr>
                <w:rFonts w:ascii="宋体" w:hAnsi="宋体" w:cs="宋体"/>
                <w:highlight w:val="none"/>
              </w:rPr>
            </w:pPr>
          </w:p>
        </w:tc>
        <w:tc>
          <w:tcPr>
            <w:tcW w:w="1575" w:type="dxa"/>
            <w:vAlign w:val="center"/>
          </w:tcPr>
          <w:p>
            <w:pPr>
              <w:rPr>
                <w:rFonts w:ascii="宋体" w:hAnsi="宋体" w:cs="宋体"/>
                <w:highlight w:val="none"/>
              </w:rPr>
            </w:pPr>
          </w:p>
        </w:tc>
        <w:tc>
          <w:tcPr>
            <w:tcW w:w="1452" w:type="dxa"/>
            <w:vAlign w:val="center"/>
          </w:tcPr>
          <w:p>
            <w:pPr>
              <w:rPr>
                <w:rFonts w:ascii="宋体" w:hAnsi="宋体" w:cs="宋体"/>
                <w:highlight w:val="none"/>
              </w:rPr>
            </w:pPr>
          </w:p>
        </w:tc>
        <w:tc>
          <w:tcPr>
            <w:tcW w:w="1348" w:type="dxa"/>
          </w:tcPr>
          <w:p>
            <w:pPr>
              <w:rPr>
                <w:rFonts w:ascii="宋体" w:hAnsi="宋体" w:cs="宋体"/>
                <w:highlight w:val="none"/>
              </w:rPr>
            </w:pPr>
          </w:p>
        </w:tc>
      </w:tr>
    </w:tbl>
    <w:p>
      <w:pPr>
        <w:widowControl w:val="0"/>
        <w:spacing w:line="360" w:lineRule="auto"/>
        <w:jc w:val="both"/>
        <w:rPr>
          <w:rFonts w:ascii="宋体" w:hAnsi="宋体" w:cs="宋体"/>
          <w:highlight w:val="none"/>
        </w:rPr>
      </w:pPr>
      <w:r>
        <w:rPr>
          <w:rFonts w:hint="eastAsia" w:ascii="宋体" w:hAnsi="宋体" w:cs="宋体"/>
          <w:highlight w:val="none"/>
        </w:rPr>
        <w:t>注：</w:t>
      </w:r>
    </w:p>
    <w:p>
      <w:pPr>
        <w:widowControl w:val="0"/>
        <w:spacing w:line="360" w:lineRule="auto"/>
        <w:jc w:val="both"/>
        <w:rPr>
          <w:rFonts w:ascii="宋体" w:hAnsi="宋体" w:cs="宋体"/>
          <w:highlight w:val="none"/>
        </w:rPr>
      </w:pPr>
      <w:r>
        <w:rPr>
          <w:rFonts w:hint="eastAsia" w:ascii="宋体" w:hAnsi="宋体" w:cs="宋体"/>
          <w:highlight w:val="none"/>
        </w:rPr>
        <w:t>1）本表所列条款必须一一予以响应，“</w:t>
      </w:r>
      <w:r>
        <w:rPr>
          <w:rFonts w:hint="eastAsia" w:ascii="宋体" w:hAnsi="宋体" w:cs="宋体"/>
          <w:b/>
          <w:highlight w:val="none"/>
        </w:rPr>
        <w:t>响应文件响应</w:t>
      </w:r>
      <w:r>
        <w:rPr>
          <w:rFonts w:hint="eastAsia" w:ascii="宋体" w:hAnsi="宋体" w:cs="宋体"/>
          <w:highlight w:val="none"/>
        </w:rPr>
        <w:t>”一栏应</w:t>
      </w:r>
      <w:r>
        <w:rPr>
          <w:rFonts w:hint="eastAsia" w:ascii="宋体" w:hAnsi="宋体" w:cs="宋体"/>
          <w:b/>
          <w:highlight w:val="none"/>
        </w:rPr>
        <w:t>填写具体的响应内容，有差异的</w:t>
      </w:r>
      <w:r>
        <w:rPr>
          <w:rFonts w:hint="eastAsia" w:ascii="宋体" w:hAnsi="宋体" w:cs="宋体"/>
          <w:highlight w:val="none"/>
        </w:rPr>
        <w:t>要具体说明。</w:t>
      </w:r>
    </w:p>
    <w:p>
      <w:pPr>
        <w:widowControl w:val="0"/>
        <w:spacing w:line="360" w:lineRule="auto"/>
        <w:jc w:val="both"/>
        <w:rPr>
          <w:rFonts w:ascii="宋体" w:hAnsi="宋体" w:cs="宋体"/>
          <w:highlight w:val="none"/>
        </w:rPr>
      </w:pPr>
      <w:r>
        <w:rPr>
          <w:rFonts w:hint="eastAsia" w:ascii="宋体" w:hAnsi="宋体" w:cs="宋体"/>
          <w:highlight w:val="none"/>
        </w:rPr>
        <w:t>2）请供应商认真填写本表内容。</w:t>
      </w:r>
    </w:p>
    <w:p>
      <w:pPr>
        <w:widowControl w:val="0"/>
        <w:spacing w:line="360" w:lineRule="auto"/>
        <w:jc w:val="both"/>
        <w:rPr>
          <w:rFonts w:ascii="宋体" w:hAnsi="宋体" w:cs="宋体"/>
          <w:highlight w:val="none"/>
        </w:rPr>
      </w:pPr>
      <w:r>
        <w:rPr>
          <w:rFonts w:hint="eastAsia" w:ascii="宋体" w:hAnsi="宋体" w:cs="宋体"/>
          <w:highlight w:val="none"/>
        </w:rPr>
        <w:t>3）本表应列出所有★号条款的响应情况，请供应商自行填写。</w:t>
      </w:r>
    </w:p>
    <w:p>
      <w:pPr>
        <w:spacing w:line="360" w:lineRule="auto"/>
        <w:rPr>
          <w:rFonts w:ascii="宋体" w:hAnsi="宋体" w:cs="宋体"/>
          <w:b/>
          <w:szCs w:val="21"/>
          <w:highlight w:val="none"/>
        </w:rPr>
      </w:pPr>
    </w:p>
    <w:p>
      <w:pPr>
        <w:spacing w:line="360" w:lineRule="auto"/>
        <w:rPr>
          <w:rFonts w:ascii="宋体" w:hAnsi="宋体" w:cs="宋体"/>
          <w:b/>
          <w:szCs w:val="21"/>
          <w:highlight w:val="none"/>
        </w:rPr>
      </w:pPr>
    </w:p>
    <w:p>
      <w:pPr>
        <w:spacing w:line="360" w:lineRule="auto"/>
        <w:rPr>
          <w:rFonts w:ascii="宋体" w:hAnsi="宋体" w:cs="宋体"/>
          <w:b/>
          <w:szCs w:val="21"/>
          <w:highlight w:val="none"/>
        </w:rPr>
      </w:pPr>
    </w:p>
    <w:p>
      <w:pPr>
        <w:spacing w:line="360" w:lineRule="auto"/>
        <w:rPr>
          <w:rFonts w:ascii="宋体" w:hAnsi="宋体" w:cs="宋体"/>
          <w:b/>
          <w:szCs w:val="21"/>
          <w:highlight w:val="none"/>
        </w:rPr>
      </w:pPr>
    </w:p>
    <w:p>
      <w:pPr>
        <w:spacing w:line="360" w:lineRule="auto"/>
        <w:rPr>
          <w:rFonts w:ascii="宋体" w:hAnsi="宋体" w:cs="宋体"/>
          <w:b/>
          <w:szCs w:val="21"/>
          <w:highlight w:val="none"/>
        </w:rPr>
      </w:pPr>
    </w:p>
    <w:p>
      <w:pPr>
        <w:spacing w:line="360" w:lineRule="auto"/>
        <w:rPr>
          <w:rFonts w:ascii="宋体" w:hAnsi="宋体" w:cs="宋体"/>
          <w:b/>
          <w:szCs w:val="21"/>
          <w:highlight w:val="none"/>
        </w:rPr>
      </w:pPr>
    </w:p>
    <w:p>
      <w:pPr>
        <w:spacing w:line="360" w:lineRule="auto"/>
        <w:rPr>
          <w:rFonts w:ascii="宋体" w:hAnsi="宋体" w:cs="宋体"/>
          <w:i/>
          <w:szCs w:val="21"/>
          <w:highlight w:val="none"/>
        </w:rPr>
      </w:pPr>
      <w:r>
        <w:rPr>
          <w:rFonts w:hint="eastAsia" w:ascii="宋体" w:hAnsi="宋体" w:cs="宋体"/>
          <w:b/>
          <w:szCs w:val="21"/>
          <w:highlight w:val="none"/>
        </w:rPr>
        <w:br w:type="page"/>
      </w:r>
    </w:p>
    <w:p>
      <w:pPr>
        <w:pStyle w:val="3"/>
        <w:keepLines w:val="0"/>
        <w:widowControl w:val="0"/>
        <w:tabs>
          <w:tab w:val="left" w:pos="851"/>
        </w:tabs>
        <w:adjustRightInd/>
        <w:snapToGrid/>
        <w:jc w:val="both"/>
        <w:rPr>
          <w:rFonts w:hAnsi="宋体" w:cs="宋体"/>
          <w:b/>
          <w:sz w:val="21"/>
          <w:szCs w:val="21"/>
          <w:highlight w:val="none"/>
        </w:rPr>
      </w:pPr>
      <w:bookmarkStart w:id="2338" w:name="_Toc454820105"/>
      <w:bookmarkStart w:id="2339" w:name="_Toc535849057"/>
      <w:bookmarkStart w:id="2340" w:name="_Toc519164279"/>
      <w:bookmarkStart w:id="2341" w:name="_Toc502737194"/>
      <w:bookmarkStart w:id="2342" w:name="_Toc455134768"/>
      <w:bookmarkStart w:id="2343" w:name="_Toc27674"/>
      <w:bookmarkStart w:id="2344" w:name="_Toc26127"/>
      <w:bookmarkStart w:id="2345" w:name="_Toc19600"/>
      <w:bookmarkStart w:id="2346" w:name="_Toc32669"/>
      <w:bookmarkStart w:id="2347" w:name="_Toc7775"/>
      <w:bookmarkStart w:id="2348" w:name="_Toc16867"/>
      <w:r>
        <w:rPr>
          <w:rFonts w:hint="eastAsia" w:hAnsi="宋体" w:cs="宋体"/>
          <w:b/>
          <w:sz w:val="21"/>
          <w:szCs w:val="21"/>
          <w:highlight w:val="none"/>
        </w:rPr>
        <w:t xml:space="preserve">8. </w:t>
      </w:r>
      <w:bookmarkEnd w:id="2338"/>
      <w:bookmarkEnd w:id="2339"/>
      <w:bookmarkEnd w:id="2340"/>
      <w:bookmarkEnd w:id="2341"/>
      <w:bookmarkEnd w:id="2342"/>
      <w:bookmarkStart w:id="2349" w:name="_Toc508619371"/>
      <w:bookmarkStart w:id="2350" w:name="_Toc520732349"/>
      <w:bookmarkStart w:id="2351" w:name="_Toc5294840"/>
      <w:bookmarkStart w:id="2352" w:name="_Toc20772"/>
      <w:bookmarkStart w:id="2353" w:name="_Toc6121"/>
      <w:bookmarkStart w:id="2354" w:name="_Toc18926"/>
      <w:bookmarkStart w:id="2355" w:name="_Toc475522386"/>
      <w:bookmarkStart w:id="2356" w:name="_Toc508901694"/>
      <w:bookmarkStart w:id="2357" w:name="_Toc524355940"/>
      <w:bookmarkStart w:id="2358" w:name="_Toc484599513"/>
      <w:bookmarkStart w:id="2359" w:name="_Toc500260813"/>
      <w:bookmarkStart w:id="2360" w:name="_Toc21291"/>
      <w:bookmarkStart w:id="2361" w:name="_Toc508036031"/>
      <w:bookmarkStart w:id="2362" w:name="_Toc31476"/>
      <w:r>
        <w:rPr>
          <w:rFonts w:hint="eastAsia" w:hAnsi="宋体" w:cs="宋体"/>
          <w:b/>
          <w:sz w:val="21"/>
          <w:szCs w:val="21"/>
          <w:highlight w:val="none"/>
          <w:lang w:val="en-US" w:eastAsia="zh-CN"/>
        </w:rPr>
        <w:t>用户</w:t>
      </w:r>
      <w:r>
        <w:rPr>
          <w:rFonts w:hint="eastAsia" w:hAnsi="宋体" w:cs="宋体"/>
          <w:b/>
          <w:sz w:val="21"/>
          <w:szCs w:val="21"/>
          <w:highlight w:val="none"/>
        </w:rPr>
        <w:t>需求一般条款偏离表</w:t>
      </w:r>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p>
    <w:tbl>
      <w:tblPr>
        <w:tblStyle w:val="46"/>
        <w:tblW w:w="95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502"/>
        <w:gridCol w:w="2625"/>
        <w:gridCol w:w="1686"/>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0" w:type="dxa"/>
            <w:vAlign w:val="center"/>
          </w:tcPr>
          <w:p>
            <w:pPr>
              <w:jc w:val="center"/>
              <w:rPr>
                <w:rFonts w:ascii="宋体" w:hAnsi="宋体" w:cs="宋体"/>
                <w:b/>
                <w:highlight w:val="none"/>
              </w:rPr>
            </w:pPr>
            <w:r>
              <w:rPr>
                <w:rFonts w:hint="eastAsia" w:ascii="宋体" w:hAnsi="宋体" w:cs="宋体"/>
                <w:b/>
                <w:highlight w:val="none"/>
              </w:rPr>
              <w:t>序号</w:t>
            </w:r>
          </w:p>
        </w:tc>
        <w:tc>
          <w:tcPr>
            <w:tcW w:w="2502" w:type="dxa"/>
            <w:vAlign w:val="center"/>
          </w:tcPr>
          <w:p>
            <w:pPr>
              <w:jc w:val="center"/>
              <w:rPr>
                <w:rFonts w:ascii="宋体" w:hAnsi="宋体" w:cs="宋体"/>
                <w:b/>
                <w:highlight w:val="none"/>
              </w:rPr>
            </w:pPr>
            <w:r>
              <w:rPr>
                <w:rFonts w:hint="eastAsia" w:ascii="宋体" w:hAnsi="宋体" w:cs="宋体"/>
                <w:b/>
                <w:highlight w:val="none"/>
              </w:rPr>
              <w:t>竞争性磋商文件要求</w:t>
            </w:r>
          </w:p>
        </w:tc>
        <w:tc>
          <w:tcPr>
            <w:tcW w:w="2625" w:type="dxa"/>
            <w:vAlign w:val="center"/>
          </w:tcPr>
          <w:p>
            <w:pPr>
              <w:jc w:val="center"/>
              <w:rPr>
                <w:rFonts w:ascii="宋体" w:hAnsi="宋体" w:cs="宋体"/>
                <w:b/>
                <w:highlight w:val="none"/>
              </w:rPr>
            </w:pPr>
            <w:r>
              <w:rPr>
                <w:rFonts w:hint="eastAsia" w:ascii="宋体" w:hAnsi="宋体" w:cs="宋体"/>
                <w:b/>
                <w:highlight w:val="none"/>
              </w:rPr>
              <w:t>响应文件响应</w:t>
            </w:r>
          </w:p>
        </w:tc>
        <w:tc>
          <w:tcPr>
            <w:tcW w:w="1686" w:type="dxa"/>
            <w:vAlign w:val="center"/>
          </w:tcPr>
          <w:p>
            <w:pPr>
              <w:jc w:val="center"/>
              <w:rPr>
                <w:rFonts w:ascii="宋体" w:hAnsi="宋体" w:cs="宋体"/>
                <w:b/>
                <w:highlight w:val="none"/>
              </w:rPr>
            </w:pPr>
            <w:r>
              <w:rPr>
                <w:rFonts w:hint="eastAsia" w:ascii="宋体" w:hAnsi="宋体" w:cs="宋体"/>
                <w:b/>
                <w:highlight w:val="none"/>
              </w:rPr>
              <w:t>响应/偏离</w:t>
            </w:r>
          </w:p>
        </w:tc>
        <w:tc>
          <w:tcPr>
            <w:tcW w:w="1984" w:type="dxa"/>
            <w:vAlign w:val="center"/>
          </w:tcPr>
          <w:p>
            <w:pPr>
              <w:jc w:val="center"/>
              <w:rPr>
                <w:rFonts w:ascii="宋体" w:hAnsi="宋体" w:cs="宋体"/>
                <w:b/>
                <w:highlight w:val="none"/>
              </w:rPr>
            </w:pPr>
            <w:r>
              <w:rPr>
                <w:rFonts w:hint="eastAsia" w:ascii="宋体" w:hAnsi="宋体" w:cs="宋体"/>
                <w:b/>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0" w:type="dxa"/>
            <w:vAlign w:val="center"/>
          </w:tcPr>
          <w:p>
            <w:pPr>
              <w:jc w:val="center"/>
              <w:rPr>
                <w:rFonts w:ascii="宋体" w:hAnsi="宋体" w:cs="宋体"/>
                <w:highlight w:val="none"/>
              </w:rPr>
            </w:pPr>
            <w:r>
              <w:rPr>
                <w:rFonts w:hint="eastAsia" w:ascii="宋体" w:hAnsi="宋体" w:cs="宋体"/>
                <w:highlight w:val="none"/>
              </w:rPr>
              <w:t>1</w:t>
            </w:r>
          </w:p>
        </w:tc>
        <w:tc>
          <w:tcPr>
            <w:tcW w:w="2502" w:type="dxa"/>
            <w:vAlign w:val="center"/>
          </w:tcPr>
          <w:p>
            <w:pPr>
              <w:rPr>
                <w:rFonts w:ascii="宋体" w:hAnsi="宋体" w:cs="宋体"/>
                <w:highlight w:val="none"/>
              </w:rPr>
            </w:pPr>
          </w:p>
        </w:tc>
        <w:tc>
          <w:tcPr>
            <w:tcW w:w="2625" w:type="dxa"/>
            <w:vAlign w:val="center"/>
          </w:tcPr>
          <w:p>
            <w:pPr>
              <w:rPr>
                <w:rFonts w:ascii="宋体" w:hAnsi="宋体" w:cs="宋体"/>
                <w:highlight w:val="none"/>
              </w:rPr>
            </w:pPr>
          </w:p>
        </w:tc>
        <w:tc>
          <w:tcPr>
            <w:tcW w:w="1686" w:type="dxa"/>
            <w:vAlign w:val="center"/>
          </w:tcPr>
          <w:p>
            <w:pPr>
              <w:rPr>
                <w:rFonts w:ascii="宋体" w:hAnsi="宋体" w:cs="宋体"/>
                <w:highlight w:val="none"/>
              </w:rPr>
            </w:pPr>
          </w:p>
        </w:tc>
        <w:tc>
          <w:tcPr>
            <w:tcW w:w="1984" w:type="dxa"/>
            <w:vAlign w:val="center"/>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0" w:type="dxa"/>
            <w:vAlign w:val="center"/>
          </w:tcPr>
          <w:p>
            <w:pPr>
              <w:jc w:val="center"/>
              <w:rPr>
                <w:rFonts w:ascii="宋体" w:hAnsi="宋体" w:cs="宋体"/>
                <w:highlight w:val="none"/>
              </w:rPr>
            </w:pPr>
            <w:r>
              <w:rPr>
                <w:rFonts w:hint="eastAsia" w:ascii="宋体" w:hAnsi="宋体" w:cs="宋体"/>
                <w:highlight w:val="none"/>
              </w:rPr>
              <w:t>2</w:t>
            </w:r>
          </w:p>
        </w:tc>
        <w:tc>
          <w:tcPr>
            <w:tcW w:w="2502" w:type="dxa"/>
            <w:vAlign w:val="center"/>
          </w:tcPr>
          <w:p>
            <w:pPr>
              <w:rPr>
                <w:rFonts w:ascii="宋体" w:hAnsi="宋体" w:cs="宋体"/>
                <w:highlight w:val="none"/>
              </w:rPr>
            </w:pPr>
          </w:p>
        </w:tc>
        <w:tc>
          <w:tcPr>
            <w:tcW w:w="2625" w:type="dxa"/>
            <w:vAlign w:val="center"/>
          </w:tcPr>
          <w:p>
            <w:pPr>
              <w:rPr>
                <w:rFonts w:ascii="宋体" w:hAnsi="宋体" w:cs="宋体"/>
                <w:highlight w:val="none"/>
              </w:rPr>
            </w:pPr>
          </w:p>
        </w:tc>
        <w:tc>
          <w:tcPr>
            <w:tcW w:w="1686" w:type="dxa"/>
            <w:vAlign w:val="center"/>
          </w:tcPr>
          <w:p>
            <w:pPr>
              <w:rPr>
                <w:rFonts w:ascii="宋体" w:hAnsi="宋体" w:cs="宋体"/>
                <w:highlight w:val="none"/>
              </w:rPr>
            </w:pPr>
          </w:p>
        </w:tc>
        <w:tc>
          <w:tcPr>
            <w:tcW w:w="1984" w:type="dxa"/>
            <w:vAlign w:val="center"/>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0" w:type="dxa"/>
            <w:vAlign w:val="center"/>
          </w:tcPr>
          <w:p>
            <w:pPr>
              <w:jc w:val="center"/>
              <w:rPr>
                <w:rFonts w:ascii="宋体" w:hAnsi="宋体" w:cs="宋体"/>
                <w:highlight w:val="none"/>
              </w:rPr>
            </w:pPr>
            <w:r>
              <w:rPr>
                <w:rFonts w:hint="eastAsia" w:ascii="宋体" w:hAnsi="宋体" w:cs="宋体"/>
                <w:highlight w:val="none"/>
              </w:rPr>
              <w:t>3</w:t>
            </w:r>
          </w:p>
        </w:tc>
        <w:tc>
          <w:tcPr>
            <w:tcW w:w="2502" w:type="dxa"/>
            <w:vAlign w:val="center"/>
          </w:tcPr>
          <w:p>
            <w:pPr>
              <w:rPr>
                <w:rFonts w:ascii="宋体" w:hAnsi="宋体" w:cs="宋体"/>
                <w:highlight w:val="none"/>
              </w:rPr>
            </w:pPr>
          </w:p>
        </w:tc>
        <w:tc>
          <w:tcPr>
            <w:tcW w:w="2625" w:type="dxa"/>
            <w:vAlign w:val="center"/>
          </w:tcPr>
          <w:p>
            <w:pPr>
              <w:rPr>
                <w:rFonts w:ascii="宋体" w:hAnsi="宋体" w:cs="宋体"/>
                <w:highlight w:val="none"/>
              </w:rPr>
            </w:pPr>
          </w:p>
        </w:tc>
        <w:tc>
          <w:tcPr>
            <w:tcW w:w="1686" w:type="dxa"/>
            <w:vAlign w:val="center"/>
          </w:tcPr>
          <w:p>
            <w:pPr>
              <w:rPr>
                <w:rFonts w:ascii="宋体" w:hAnsi="宋体" w:cs="宋体"/>
                <w:highlight w:val="none"/>
              </w:rPr>
            </w:pPr>
          </w:p>
        </w:tc>
        <w:tc>
          <w:tcPr>
            <w:tcW w:w="1984" w:type="dxa"/>
            <w:vAlign w:val="center"/>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0" w:type="dxa"/>
            <w:vAlign w:val="center"/>
          </w:tcPr>
          <w:p>
            <w:pPr>
              <w:jc w:val="center"/>
              <w:rPr>
                <w:rFonts w:ascii="宋体" w:hAnsi="宋体" w:cs="宋体"/>
                <w:highlight w:val="none"/>
              </w:rPr>
            </w:pPr>
            <w:r>
              <w:rPr>
                <w:rFonts w:hint="eastAsia" w:ascii="宋体" w:hAnsi="宋体" w:cs="宋体"/>
                <w:highlight w:val="none"/>
              </w:rPr>
              <w:t>4</w:t>
            </w:r>
          </w:p>
        </w:tc>
        <w:tc>
          <w:tcPr>
            <w:tcW w:w="2502" w:type="dxa"/>
            <w:vAlign w:val="center"/>
          </w:tcPr>
          <w:p>
            <w:pPr>
              <w:rPr>
                <w:rFonts w:ascii="宋体" w:hAnsi="宋体" w:cs="宋体"/>
                <w:highlight w:val="none"/>
              </w:rPr>
            </w:pPr>
          </w:p>
        </w:tc>
        <w:tc>
          <w:tcPr>
            <w:tcW w:w="2625" w:type="dxa"/>
            <w:vAlign w:val="center"/>
          </w:tcPr>
          <w:p>
            <w:pPr>
              <w:rPr>
                <w:rFonts w:ascii="宋体" w:hAnsi="宋体" w:cs="宋体"/>
                <w:highlight w:val="none"/>
              </w:rPr>
            </w:pPr>
          </w:p>
        </w:tc>
        <w:tc>
          <w:tcPr>
            <w:tcW w:w="1686" w:type="dxa"/>
            <w:vAlign w:val="center"/>
          </w:tcPr>
          <w:p>
            <w:pPr>
              <w:rPr>
                <w:rFonts w:ascii="宋体" w:hAnsi="宋体" w:cs="宋体"/>
                <w:highlight w:val="none"/>
              </w:rPr>
            </w:pPr>
          </w:p>
        </w:tc>
        <w:tc>
          <w:tcPr>
            <w:tcW w:w="1984" w:type="dxa"/>
            <w:vAlign w:val="center"/>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0" w:type="dxa"/>
            <w:vAlign w:val="center"/>
          </w:tcPr>
          <w:p>
            <w:pPr>
              <w:jc w:val="center"/>
              <w:rPr>
                <w:rFonts w:ascii="宋体" w:hAnsi="宋体" w:cs="宋体"/>
                <w:highlight w:val="none"/>
              </w:rPr>
            </w:pPr>
            <w:r>
              <w:rPr>
                <w:rFonts w:hint="eastAsia" w:ascii="宋体" w:hAnsi="宋体" w:cs="宋体"/>
                <w:highlight w:val="none"/>
              </w:rPr>
              <w:t>5</w:t>
            </w:r>
          </w:p>
        </w:tc>
        <w:tc>
          <w:tcPr>
            <w:tcW w:w="2502" w:type="dxa"/>
            <w:vAlign w:val="center"/>
          </w:tcPr>
          <w:p>
            <w:pPr>
              <w:rPr>
                <w:rFonts w:ascii="宋体" w:hAnsi="宋体" w:cs="宋体"/>
                <w:highlight w:val="none"/>
              </w:rPr>
            </w:pPr>
          </w:p>
        </w:tc>
        <w:tc>
          <w:tcPr>
            <w:tcW w:w="2625" w:type="dxa"/>
            <w:vAlign w:val="center"/>
          </w:tcPr>
          <w:p>
            <w:pPr>
              <w:rPr>
                <w:rFonts w:ascii="宋体" w:hAnsi="宋体" w:cs="宋体"/>
                <w:highlight w:val="none"/>
              </w:rPr>
            </w:pPr>
          </w:p>
        </w:tc>
        <w:tc>
          <w:tcPr>
            <w:tcW w:w="1686" w:type="dxa"/>
            <w:vAlign w:val="center"/>
          </w:tcPr>
          <w:p>
            <w:pPr>
              <w:rPr>
                <w:rFonts w:ascii="宋体" w:hAnsi="宋体" w:cs="宋体"/>
                <w:highlight w:val="none"/>
              </w:rPr>
            </w:pPr>
          </w:p>
        </w:tc>
        <w:tc>
          <w:tcPr>
            <w:tcW w:w="1984" w:type="dxa"/>
            <w:vAlign w:val="center"/>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0" w:type="dxa"/>
            <w:vAlign w:val="center"/>
          </w:tcPr>
          <w:p>
            <w:pPr>
              <w:jc w:val="center"/>
              <w:rPr>
                <w:rFonts w:ascii="宋体" w:hAnsi="宋体" w:cs="宋体"/>
                <w:highlight w:val="none"/>
              </w:rPr>
            </w:pPr>
            <w:r>
              <w:rPr>
                <w:rFonts w:hint="eastAsia" w:ascii="宋体" w:hAnsi="宋体" w:cs="宋体"/>
                <w:highlight w:val="none"/>
              </w:rPr>
              <w:t>6</w:t>
            </w:r>
          </w:p>
        </w:tc>
        <w:tc>
          <w:tcPr>
            <w:tcW w:w="2502" w:type="dxa"/>
            <w:vAlign w:val="center"/>
          </w:tcPr>
          <w:p>
            <w:pPr>
              <w:rPr>
                <w:rFonts w:ascii="宋体" w:hAnsi="宋体" w:cs="宋体"/>
                <w:highlight w:val="none"/>
              </w:rPr>
            </w:pPr>
          </w:p>
        </w:tc>
        <w:tc>
          <w:tcPr>
            <w:tcW w:w="2625" w:type="dxa"/>
            <w:vAlign w:val="center"/>
          </w:tcPr>
          <w:p>
            <w:pPr>
              <w:rPr>
                <w:rFonts w:ascii="宋体" w:hAnsi="宋体" w:cs="宋体"/>
                <w:highlight w:val="none"/>
              </w:rPr>
            </w:pPr>
          </w:p>
        </w:tc>
        <w:tc>
          <w:tcPr>
            <w:tcW w:w="1686" w:type="dxa"/>
            <w:vAlign w:val="center"/>
          </w:tcPr>
          <w:p>
            <w:pPr>
              <w:rPr>
                <w:rFonts w:ascii="宋体" w:hAnsi="宋体" w:cs="宋体"/>
                <w:highlight w:val="none"/>
              </w:rPr>
            </w:pPr>
          </w:p>
        </w:tc>
        <w:tc>
          <w:tcPr>
            <w:tcW w:w="1984" w:type="dxa"/>
            <w:vAlign w:val="center"/>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0" w:type="dxa"/>
            <w:vAlign w:val="center"/>
          </w:tcPr>
          <w:p>
            <w:pPr>
              <w:jc w:val="center"/>
              <w:rPr>
                <w:rFonts w:ascii="宋体" w:hAnsi="宋体" w:cs="宋体"/>
                <w:highlight w:val="none"/>
              </w:rPr>
            </w:pPr>
            <w:r>
              <w:rPr>
                <w:rFonts w:hint="eastAsia" w:ascii="宋体" w:hAnsi="宋体" w:cs="宋体"/>
                <w:highlight w:val="none"/>
              </w:rPr>
              <w:t>7</w:t>
            </w:r>
          </w:p>
        </w:tc>
        <w:tc>
          <w:tcPr>
            <w:tcW w:w="2502" w:type="dxa"/>
            <w:vAlign w:val="center"/>
          </w:tcPr>
          <w:p>
            <w:pPr>
              <w:rPr>
                <w:rFonts w:ascii="宋体" w:hAnsi="宋体" w:cs="宋体"/>
                <w:highlight w:val="none"/>
              </w:rPr>
            </w:pPr>
          </w:p>
        </w:tc>
        <w:tc>
          <w:tcPr>
            <w:tcW w:w="2625" w:type="dxa"/>
            <w:vAlign w:val="center"/>
          </w:tcPr>
          <w:p>
            <w:pPr>
              <w:rPr>
                <w:rFonts w:ascii="宋体" w:hAnsi="宋体" w:cs="宋体"/>
                <w:highlight w:val="none"/>
              </w:rPr>
            </w:pPr>
          </w:p>
        </w:tc>
        <w:tc>
          <w:tcPr>
            <w:tcW w:w="1686" w:type="dxa"/>
            <w:vAlign w:val="center"/>
          </w:tcPr>
          <w:p>
            <w:pPr>
              <w:rPr>
                <w:rFonts w:ascii="宋体" w:hAnsi="宋体" w:cs="宋体"/>
                <w:highlight w:val="none"/>
              </w:rPr>
            </w:pPr>
          </w:p>
        </w:tc>
        <w:tc>
          <w:tcPr>
            <w:tcW w:w="1984" w:type="dxa"/>
            <w:vAlign w:val="center"/>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0" w:type="dxa"/>
            <w:vAlign w:val="center"/>
          </w:tcPr>
          <w:p>
            <w:pPr>
              <w:jc w:val="center"/>
              <w:rPr>
                <w:rFonts w:ascii="宋体" w:hAnsi="宋体" w:cs="宋体"/>
                <w:highlight w:val="none"/>
              </w:rPr>
            </w:pPr>
            <w:r>
              <w:rPr>
                <w:rFonts w:hint="eastAsia" w:ascii="宋体" w:hAnsi="宋体" w:cs="宋体"/>
                <w:highlight w:val="none"/>
              </w:rPr>
              <w:t>8</w:t>
            </w:r>
          </w:p>
        </w:tc>
        <w:tc>
          <w:tcPr>
            <w:tcW w:w="2502" w:type="dxa"/>
            <w:vAlign w:val="center"/>
          </w:tcPr>
          <w:p>
            <w:pPr>
              <w:rPr>
                <w:rFonts w:ascii="宋体" w:hAnsi="宋体" w:cs="宋体"/>
                <w:highlight w:val="none"/>
              </w:rPr>
            </w:pPr>
          </w:p>
        </w:tc>
        <w:tc>
          <w:tcPr>
            <w:tcW w:w="2625" w:type="dxa"/>
            <w:vAlign w:val="center"/>
          </w:tcPr>
          <w:p>
            <w:pPr>
              <w:rPr>
                <w:rFonts w:ascii="宋体" w:hAnsi="宋体" w:cs="宋体"/>
                <w:highlight w:val="none"/>
              </w:rPr>
            </w:pPr>
          </w:p>
        </w:tc>
        <w:tc>
          <w:tcPr>
            <w:tcW w:w="1686" w:type="dxa"/>
            <w:vAlign w:val="center"/>
          </w:tcPr>
          <w:p>
            <w:pPr>
              <w:rPr>
                <w:rFonts w:ascii="宋体" w:hAnsi="宋体" w:cs="宋体"/>
                <w:highlight w:val="none"/>
              </w:rPr>
            </w:pPr>
          </w:p>
        </w:tc>
        <w:tc>
          <w:tcPr>
            <w:tcW w:w="1984" w:type="dxa"/>
            <w:vAlign w:val="center"/>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0" w:type="dxa"/>
            <w:vAlign w:val="center"/>
          </w:tcPr>
          <w:p>
            <w:pPr>
              <w:jc w:val="center"/>
              <w:rPr>
                <w:rFonts w:ascii="宋体" w:hAnsi="宋体" w:cs="宋体"/>
                <w:highlight w:val="none"/>
              </w:rPr>
            </w:pPr>
            <w:r>
              <w:rPr>
                <w:rFonts w:hint="eastAsia" w:ascii="宋体" w:hAnsi="宋体" w:cs="宋体"/>
                <w:highlight w:val="none"/>
              </w:rPr>
              <w:t>9</w:t>
            </w:r>
          </w:p>
        </w:tc>
        <w:tc>
          <w:tcPr>
            <w:tcW w:w="2502" w:type="dxa"/>
            <w:vAlign w:val="center"/>
          </w:tcPr>
          <w:p>
            <w:pPr>
              <w:rPr>
                <w:rFonts w:ascii="宋体" w:hAnsi="宋体" w:cs="宋体"/>
                <w:highlight w:val="none"/>
              </w:rPr>
            </w:pPr>
          </w:p>
        </w:tc>
        <w:tc>
          <w:tcPr>
            <w:tcW w:w="2625" w:type="dxa"/>
            <w:vAlign w:val="center"/>
          </w:tcPr>
          <w:p>
            <w:pPr>
              <w:rPr>
                <w:rFonts w:ascii="宋体" w:hAnsi="宋体" w:cs="宋体"/>
                <w:highlight w:val="none"/>
              </w:rPr>
            </w:pPr>
          </w:p>
        </w:tc>
        <w:tc>
          <w:tcPr>
            <w:tcW w:w="1686" w:type="dxa"/>
            <w:vAlign w:val="center"/>
          </w:tcPr>
          <w:p>
            <w:pPr>
              <w:rPr>
                <w:rFonts w:ascii="宋体" w:hAnsi="宋体" w:cs="宋体"/>
                <w:highlight w:val="none"/>
              </w:rPr>
            </w:pPr>
          </w:p>
        </w:tc>
        <w:tc>
          <w:tcPr>
            <w:tcW w:w="1984" w:type="dxa"/>
            <w:vAlign w:val="center"/>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0" w:type="dxa"/>
            <w:vAlign w:val="center"/>
          </w:tcPr>
          <w:p>
            <w:pPr>
              <w:jc w:val="center"/>
              <w:rPr>
                <w:rFonts w:ascii="宋体" w:hAnsi="宋体" w:cs="宋体"/>
                <w:highlight w:val="none"/>
              </w:rPr>
            </w:pPr>
            <w:r>
              <w:rPr>
                <w:rFonts w:hint="eastAsia" w:ascii="宋体" w:hAnsi="宋体" w:cs="宋体"/>
                <w:highlight w:val="none"/>
              </w:rPr>
              <w:t>…</w:t>
            </w:r>
          </w:p>
        </w:tc>
        <w:tc>
          <w:tcPr>
            <w:tcW w:w="2502" w:type="dxa"/>
            <w:vAlign w:val="center"/>
          </w:tcPr>
          <w:p>
            <w:pPr>
              <w:rPr>
                <w:rFonts w:ascii="宋体" w:hAnsi="宋体" w:cs="宋体"/>
                <w:highlight w:val="none"/>
              </w:rPr>
            </w:pPr>
          </w:p>
        </w:tc>
        <w:tc>
          <w:tcPr>
            <w:tcW w:w="2625" w:type="dxa"/>
            <w:vAlign w:val="center"/>
          </w:tcPr>
          <w:p>
            <w:pPr>
              <w:rPr>
                <w:rFonts w:ascii="宋体" w:hAnsi="宋体" w:cs="宋体"/>
                <w:highlight w:val="none"/>
              </w:rPr>
            </w:pPr>
          </w:p>
        </w:tc>
        <w:tc>
          <w:tcPr>
            <w:tcW w:w="1686" w:type="dxa"/>
            <w:vAlign w:val="center"/>
          </w:tcPr>
          <w:p>
            <w:pPr>
              <w:rPr>
                <w:rFonts w:ascii="宋体" w:hAnsi="宋体" w:cs="宋体"/>
                <w:highlight w:val="none"/>
              </w:rPr>
            </w:pPr>
          </w:p>
        </w:tc>
        <w:tc>
          <w:tcPr>
            <w:tcW w:w="1984" w:type="dxa"/>
            <w:vAlign w:val="center"/>
          </w:tcPr>
          <w:p>
            <w:pPr>
              <w:rPr>
                <w:rFonts w:ascii="宋体" w:hAnsi="宋体" w:cs="宋体"/>
                <w:highlight w:val="none"/>
              </w:rPr>
            </w:pPr>
          </w:p>
        </w:tc>
      </w:tr>
    </w:tbl>
    <w:p>
      <w:pPr>
        <w:spacing w:line="360" w:lineRule="auto"/>
        <w:rPr>
          <w:rFonts w:ascii="宋体" w:hAnsi="宋体" w:cs="宋体"/>
          <w:highlight w:val="none"/>
          <w:lang w:val="en-GB"/>
        </w:rPr>
      </w:pPr>
      <w:r>
        <w:rPr>
          <w:rFonts w:hint="eastAsia" w:ascii="宋体" w:hAnsi="宋体" w:cs="宋体"/>
          <w:highlight w:val="none"/>
          <w:lang w:val="en-GB"/>
        </w:rPr>
        <w:t>注：</w:t>
      </w:r>
      <w:r>
        <w:rPr>
          <w:rFonts w:hint="eastAsia" w:ascii="宋体" w:hAnsi="宋体" w:cs="宋体"/>
          <w:highlight w:val="none"/>
        </w:rPr>
        <w:t>1）供应商必</w:t>
      </w:r>
      <w:r>
        <w:rPr>
          <w:rFonts w:hint="eastAsia" w:ascii="宋体" w:hAnsi="宋体" w:cs="宋体"/>
          <w:highlight w:val="none"/>
          <w:lang w:val="en-GB"/>
        </w:rPr>
        <w:t>须将第</w:t>
      </w:r>
      <w:r>
        <w:rPr>
          <w:rFonts w:hint="eastAsia" w:ascii="宋体" w:hAnsi="宋体" w:cs="宋体"/>
          <w:highlight w:val="none"/>
        </w:rPr>
        <w:t>二</w:t>
      </w:r>
      <w:r>
        <w:rPr>
          <w:rFonts w:hint="eastAsia" w:ascii="宋体" w:hAnsi="宋体" w:cs="宋体"/>
          <w:highlight w:val="none"/>
          <w:lang w:val="en-GB"/>
        </w:rPr>
        <w:t>章“</w:t>
      </w:r>
      <w:r>
        <w:rPr>
          <w:rFonts w:hint="eastAsia" w:ascii="宋体" w:hAnsi="宋体" w:cs="宋体"/>
          <w:highlight w:val="none"/>
          <w:lang w:val="en-US" w:eastAsia="zh-CN"/>
        </w:rPr>
        <w:t>用户需求书</w:t>
      </w:r>
      <w:r>
        <w:rPr>
          <w:rFonts w:hint="eastAsia" w:ascii="宋体" w:hAnsi="宋体" w:cs="宋体"/>
          <w:highlight w:val="none"/>
          <w:lang w:val="en-GB"/>
        </w:rPr>
        <w:t>”中的全部非“★”条款参数按顺序逐条填写。</w:t>
      </w:r>
    </w:p>
    <w:p>
      <w:pPr>
        <w:spacing w:line="360" w:lineRule="auto"/>
        <w:ind w:firstLine="420" w:firstLineChars="200"/>
        <w:rPr>
          <w:rFonts w:ascii="宋体" w:hAnsi="宋体" w:cs="宋体"/>
          <w:highlight w:val="none"/>
          <w:lang w:val="en-GB"/>
        </w:rPr>
      </w:pPr>
      <w:r>
        <w:rPr>
          <w:rFonts w:hint="eastAsia" w:ascii="宋体" w:hAnsi="宋体" w:cs="宋体"/>
          <w:highlight w:val="none"/>
          <w:lang w:val="en-GB"/>
        </w:rPr>
        <w:t>2）请在“偏离说明”栏内扼要说明偏离情况。</w:t>
      </w:r>
    </w:p>
    <w:p>
      <w:pPr>
        <w:spacing w:line="360" w:lineRule="auto"/>
        <w:ind w:firstLine="422" w:firstLineChars="200"/>
        <w:rPr>
          <w:rFonts w:ascii="宋体" w:hAnsi="宋体" w:cs="宋体"/>
          <w:b/>
          <w:bCs/>
          <w:highlight w:val="none"/>
        </w:rPr>
      </w:pPr>
      <w:r>
        <w:rPr>
          <w:rFonts w:hint="eastAsia" w:ascii="宋体" w:hAnsi="宋体" w:cs="宋体"/>
          <w:b/>
          <w:bCs/>
          <w:highlight w:val="none"/>
        </w:rPr>
        <w:t>3）</w:t>
      </w:r>
      <w:r>
        <w:rPr>
          <w:rFonts w:hint="eastAsia" w:ascii="宋体" w:hAnsi="宋体" w:cs="宋体"/>
          <w:b/>
          <w:bCs/>
          <w:highlight w:val="none"/>
          <w:lang w:val="en-GB"/>
        </w:rPr>
        <w:t>请供应商认真填写</w:t>
      </w:r>
      <w:r>
        <w:rPr>
          <w:rFonts w:hint="eastAsia" w:ascii="宋体" w:hAnsi="宋体" w:cs="宋体"/>
          <w:b/>
          <w:bCs/>
          <w:highlight w:val="none"/>
        </w:rPr>
        <w:t>本表内容。</w:t>
      </w:r>
    </w:p>
    <w:p>
      <w:pPr>
        <w:adjustRightInd w:val="0"/>
        <w:snapToGrid w:val="0"/>
        <w:spacing w:line="360" w:lineRule="auto"/>
        <w:rPr>
          <w:rFonts w:ascii="宋体" w:hAnsi="宋体" w:cs="宋体"/>
          <w:szCs w:val="21"/>
          <w:highlight w:val="none"/>
        </w:rPr>
      </w:pPr>
    </w:p>
    <w:p>
      <w:pPr>
        <w:adjustRightInd w:val="0"/>
        <w:snapToGrid w:val="0"/>
        <w:spacing w:line="360" w:lineRule="auto"/>
        <w:rPr>
          <w:rFonts w:ascii="宋体" w:hAnsi="宋体" w:cs="宋体"/>
          <w:szCs w:val="21"/>
          <w:highlight w:val="none"/>
        </w:rPr>
      </w:pPr>
    </w:p>
    <w:p>
      <w:pPr>
        <w:spacing w:line="360" w:lineRule="auto"/>
        <w:rPr>
          <w:rFonts w:ascii="宋体" w:hAnsi="宋体" w:cs="宋体"/>
          <w:szCs w:val="21"/>
          <w:highlight w:val="none"/>
        </w:rPr>
      </w:pPr>
    </w:p>
    <w:p>
      <w:pPr>
        <w:rPr>
          <w:rFonts w:ascii="宋体" w:hAnsi="宋体" w:cs="宋体"/>
          <w:highlight w:val="none"/>
        </w:rPr>
      </w:pPr>
    </w:p>
    <w:p>
      <w:pPr>
        <w:pStyle w:val="3"/>
        <w:keepLines w:val="0"/>
        <w:widowControl w:val="0"/>
        <w:tabs>
          <w:tab w:val="left" w:pos="851"/>
        </w:tabs>
        <w:adjustRightInd/>
        <w:snapToGrid/>
        <w:jc w:val="both"/>
        <w:rPr>
          <w:rFonts w:hAnsi="宋体" w:cs="宋体"/>
          <w:b/>
          <w:sz w:val="21"/>
          <w:szCs w:val="21"/>
          <w:highlight w:val="none"/>
        </w:rPr>
      </w:pPr>
      <w:r>
        <w:rPr>
          <w:rFonts w:hint="eastAsia" w:hAnsi="宋体" w:cs="宋体"/>
          <w:b/>
          <w:szCs w:val="21"/>
          <w:highlight w:val="none"/>
        </w:rPr>
        <w:br w:type="page"/>
      </w:r>
      <w:bookmarkStart w:id="2363" w:name="_Hlt513974449"/>
      <w:bookmarkEnd w:id="2363"/>
      <w:bookmarkStart w:id="2364" w:name="_Toc9781"/>
      <w:bookmarkStart w:id="2365" w:name="_Toc535849058"/>
      <w:bookmarkStart w:id="2366" w:name="_Toc30477"/>
      <w:bookmarkStart w:id="2367" w:name="_Toc24528"/>
      <w:bookmarkStart w:id="2368" w:name="_Toc519164280"/>
      <w:bookmarkStart w:id="2369" w:name="_Toc502737197"/>
      <w:bookmarkStart w:id="2370" w:name="_Toc32320"/>
      <w:bookmarkStart w:id="2371" w:name="_Toc2597"/>
      <w:bookmarkStart w:id="2372" w:name="_Toc27096"/>
      <w:bookmarkStart w:id="2373" w:name="_Toc455134770"/>
      <w:bookmarkStart w:id="2374" w:name="_Toc454820107"/>
      <w:bookmarkStart w:id="2375" w:name="_Toc388992787"/>
      <w:r>
        <w:rPr>
          <w:rFonts w:hint="eastAsia" w:hAnsi="宋体" w:cs="宋体"/>
          <w:b/>
          <w:sz w:val="21"/>
          <w:szCs w:val="21"/>
          <w:highlight w:val="none"/>
        </w:rPr>
        <w:t>9.实施计划</w:t>
      </w:r>
      <w:bookmarkEnd w:id="2364"/>
      <w:bookmarkEnd w:id="2365"/>
      <w:bookmarkEnd w:id="2366"/>
      <w:bookmarkEnd w:id="2367"/>
      <w:bookmarkEnd w:id="2368"/>
      <w:bookmarkEnd w:id="2369"/>
      <w:bookmarkEnd w:id="2370"/>
      <w:bookmarkEnd w:id="2371"/>
      <w:bookmarkEnd w:id="2372"/>
    </w:p>
    <w:bookmarkEnd w:id="2373"/>
    <w:bookmarkEnd w:id="2374"/>
    <w:bookmarkEnd w:id="2375"/>
    <w:p>
      <w:pPr>
        <w:pStyle w:val="6"/>
        <w:rPr>
          <w:rFonts w:hAnsi="宋体" w:cs="宋体"/>
          <w:color w:val="auto"/>
          <w:highlight w:val="none"/>
        </w:rPr>
      </w:pPr>
      <w:r>
        <w:rPr>
          <w:rFonts w:hint="eastAsia" w:hAnsi="宋体" w:cs="宋体"/>
          <w:color w:val="auto"/>
          <w:highlight w:val="none"/>
        </w:rPr>
        <w:t>9.1 服务方案</w:t>
      </w:r>
    </w:p>
    <w:p>
      <w:pPr>
        <w:pStyle w:val="6"/>
        <w:ind w:firstLine="420" w:firstLineChars="200"/>
        <w:rPr>
          <w:rFonts w:hAnsi="宋体" w:cs="宋体"/>
          <w:color w:val="auto"/>
          <w:highlight w:val="none"/>
        </w:rPr>
      </w:pPr>
      <w:r>
        <w:rPr>
          <w:rFonts w:hint="eastAsia" w:hAnsi="宋体" w:cs="宋体"/>
          <w:color w:val="auto"/>
          <w:highlight w:val="none"/>
        </w:rPr>
        <w:t>供应商结合自身实际情况，根据采购人需求及服务、商务评分表内容自行编制（格式自拟），包括但不限于以下内容：</w:t>
      </w:r>
    </w:p>
    <w:p>
      <w:pPr>
        <w:spacing w:line="360" w:lineRule="auto"/>
        <w:ind w:firstLine="420" w:firstLineChars="200"/>
        <w:rPr>
          <w:rFonts w:ascii="宋体" w:hAnsi="宋体" w:cs="宋体"/>
          <w:highlight w:val="none"/>
        </w:rPr>
      </w:pPr>
      <w:r>
        <w:rPr>
          <w:rFonts w:hint="eastAsia" w:ascii="宋体" w:hAnsi="宋体" w:cs="宋体"/>
          <w:highlight w:val="none"/>
        </w:rPr>
        <w:t>1）总体服务方案</w:t>
      </w:r>
    </w:p>
    <w:p>
      <w:pPr>
        <w:spacing w:line="360" w:lineRule="auto"/>
        <w:ind w:firstLine="420" w:firstLineChars="200"/>
        <w:rPr>
          <w:rFonts w:ascii="宋体" w:hAnsi="宋体" w:cs="宋体"/>
          <w:highlight w:val="none"/>
        </w:rPr>
      </w:pPr>
      <w:r>
        <w:rPr>
          <w:rFonts w:hint="eastAsia" w:ascii="宋体" w:hAnsi="宋体" w:cs="宋体"/>
          <w:highlight w:val="none"/>
        </w:rPr>
        <w:t>2）组织管理架构</w:t>
      </w:r>
    </w:p>
    <w:p>
      <w:pPr>
        <w:spacing w:line="360" w:lineRule="auto"/>
        <w:ind w:firstLine="420" w:firstLineChars="200"/>
        <w:rPr>
          <w:rFonts w:ascii="宋体" w:hAnsi="宋体" w:cs="宋体"/>
          <w:highlight w:val="none"/>
        </w:rPr>
      </w:pPr>
      <w:r>
        <w:rPr>
          <w:rFonts w:hint="eastAsia" w:ascii="宋体" w:hAnsi="宋体" w:cs="宋体"/>
          <w:highlight w:val="none"/>
        </w:rPr>
        <w:t>3）管理机制</w:t>
      </w:r>
    </w:p>
    <w:p>
      <w:pPr>
        <w:spacing w:line="360" w:lineRule="auto"/>
        <w:ind w:firstLine="420" w:firstLineChars="200"/>
        <w:rPr>
          <w:rFonts w:ascii="宋体" w:hAnsi="宋体" w:cs="宋体"/>
          <w:highlight w:val="none"/>
        </w:rPr>
      </w:pPr>
      <w:r>
        <w:rPr>
          <w:rFonts w:hint="eastAsia" w:ascii="宋体" w:hAnsi="宋体" w:cs="宋体"/>
          <w:highlight w:val="none"/>
        </w:rPr>
        <w:t>4）供应商人员组成介绍</w:t>
      </w:r>
    </w:p>
    <w:p>
      <w:pPr>
        <w:spacing w:line="360" w:lineRule="auto"/>
        <w:ind w:firstLine="420" w:firstLineChars="200"/>
        <w:rPr>
          <w:rFonts w:ascii="宋体" w:hAnsi="宋体" w:cs="宋体"/>
          <w:highlight w:val="none"/>
        </w:rPr>
      </w:pPr>
      <w:r>
        <w:rPr>
          <w:rFonts w:hint="eastAsia" w:ascii="宋体" w:hAnsi="宋体" w:cs="宋体"/>
          <w:highlight w:val="none"/>
        </w:rPr>
        <w:t>5）项目保障措施</w:t>
      </w:r>
    </w:p>
    <w:p>
      <w:pPr>
        <w:spacing w:line="360" w:lineRule="auto"/>
        <w:ind w:firstLine="420" w:firstLineChars="200"/>
        <w:rPr>
          <w:rFonts w:ascii="宋体" w:hAnsi="宋体" w:cs="宋体"/>
          <w:highlight w:val="none"/>
        </w:rPr>
      </w:pPr>
      <w:r>
        <w:rPr>
          <w:rFonts w:hint="eastAsia" w:ascii="宋体" w:hAnsi="宋体" w:cs="宋体"/>
          <w:highlight w:val="none"/>
        </w:rPr>
        <w:t>6）应急处理方案</w:t>
      </w:r>
    </w:p>
    <w:p>
      <w:pPr>
        <w:spacing w:line="360" w:lineRule="auto"/>
        <w:ind w:firstLine="420" w:firstLineChars="200"/>
        <w:rPr>
          <w:rFonts w:ascii="宋体" w:hAnsi="宋体" w:cs="宋体"/>
          <w:highlight w:val="none"/>
        </w:rPr>
      </w:pPr>
      <w:r>
        <w:rPr>
          <w:rFonts w:hint="eastAsia" w:ascii="宋体" w:hAnsi="宋体" w:cs="宋体"/>
          <w:highlight w:val="none"/>
        </w:rPr>
        <w:t>7）特色服务</w:t>
      </w:r>
    </w:p>
    <w:p>
      <w:pPr>
        <w:spacing w:line="360" w:lineRule="auto"/>
        <w:ind w:firstLine="420" w:firstLineChars="200"/>
        <w:rPr>
          <w:rFonts w:ascii="宋体" w:hAnsi="宋体" w:cs="宋体"/>
          <w:highlight w:val="none"/>
        </w:rPr>
      </w:pPr>
      <w:r>
        <w:rPr>
          <w:rFonts w:hint="eastAsia" w:ascii="宋体" w:hAnsi="宋体" w:cs="宋体"/>
          <w:highlight w:val="none"/>
        </w:rPr>
        <w:t>8）供应商认为必要说明的其他内容（如有）</w:t>
      </w:r>
    </w:p>
    <w:p>
      <w:pPr>
        <w:spacing w:line="360" w:lineRule="auto"/>
        <w:ind w:firstLine="420" w:firstLineChars="200"/>
        <w:rPr>
          <w:rFonts w:ascii="宋体" w:hAnsi="宋体" w:cs="宋体"/>
          <w:highlight w:val="none"/>
        </w:rPr>
      </w:pPr>
    </w:p>
    <w:p>
      <w:pPr>
        <w:pStyle w:val="6"/>
        <w:tabs>
          <w:tab w:val="left" w:pos="851"/>
        </w:tabs>
        <w:rPr>
          <w:rFonts w:hAnsi="宋体" w:cs="宋体"/>
          <w:color w:val="auto"/>
          <w:highlight w:val="none"/>
        </w:rPr>
      </w:pPr>
      <w:r>
        <w:rPr>
          <w:rFonts w:hint="eastAsia" w:hAnsi="宋体" w:cs="宋体"/>
          <w:color w:val="auto"/>
          <w:highlight w:val="none"/>
        </w:rPr>
        <w:t>9.2 拟投入本项目管理及服务人员情况</w:t>
      </w:r>
    </w:p>
    <w:tbl>
      <w:tblPr>
        <w:tblStyle w:val="46"/>
        <w:tblW w:w="89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618"/>
        <w:gridCol w:w="823"/>
        <w:gridCol w:w="2565"/>
        <w:gridCol w:w="660"/>
        <w:gridCol w:w="660"/>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highlight w:val="none"/>
              </w:rPr>
            </w:pPr>
            <w:r>
              <w:rPr>
                <w:rFonts w:hint="eastAsia" w:ascii="宋体" w:hAnsi="宋体" w:cs="宋体"/>
                <w:b/>
                <w:highlight w:val="none"/>
              </w:rPr>
              <w:t>职责分工</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highlight w:val="none"/>
              </w:rPr>
            </w:pPr>
            <w:r>
              <w:rPr>
                <w:rFonts w:hint="eastAsia" w:ascii="宋体" w:hAnsi="宋体" w:cs="宋体"/>
                <w:b/>
                <w:highlight w:val="none"/>
              </w:rPr>
              <w:t>姓名</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highlight w:val="none"/>
              </w:rPr>
            </w:pPr>
            <w:r>
              <w:rPr>
                <w:rFonts w:hint="eastAsia" w:ascii="宋体" w:hAnsi="宋体" w:cs="宋体"/>
                <w:b/>
                <w:highlight w:val="none"/>
              </w:rPr>
              <w:t>现职务</w:t>
            </w:r>
          </w:p>
        </w:tc>
        <w:tc>
          <w:tcPr>
            <w:tcW w:w="25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highlight w:val="none"/>
              </w:rPr>
            </w:pPr>
            <w:r>
              <w:rPr>
                <w:rFonts w:hint="eastAsia" w:ascii="宋体" w:hAnsi="宋体" w:cs="宋体"/>
                <w:b/>
                <w:highlight w:val="none"/>
              </w:rPr>
              <w:t>曾主持/参与的</w:t>
            </w:r>
          </w:p>
          <w:p>
            <w:pPr>
              <w:jc w:val="center"/>
              <w:rPr>
                <w:rFonts w:ascii="宋体" w:hAnsi="宋体" w:cs="宋体"/>
                <w:b/>
                <w:highlight w:val="none"/>
              </w:rPr>
            </w:pPr>
            <w:r>
              <w:rPr>
                <w:rFonts w:hint="eastAsia" w:ascii="宋体" w:hAnsi="宋体" w:cs="宋体"/>
                <w:b/>
                <w:highlight w:val="none"/>
              </w:rPr>
              <w:t>同类项目经历</w:t>
            </w:r>
          </w:p>
        </w:tc>
        <w:tc>
          <w:tcPr>
            <w:tcW w:w="6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highlight w:val="none"/>
              </w:rPr>
            </w:pPr>
            <w:r>
              <w:rPr>
                <w:rFonts w:hint="eastAsia" w:ascii="宋体" w:hAnsi="宋体" w:cs="宋体"/>
                <w:b/>
                <w:highlight w:val="none"/>
              </w:rPr>
              <w:t>职称</w:t>
            </w:r>
          </w:p>
        </w:tc>
        <w:tc>
          <w:tcPr>
            <w:tcW w:w="660" w:type="dxa"/>
            <w:tcBorders>
              <w:top w:val="single" w:color="auto" w:sz="4" w:space="0"/>
              <w:left w:val="single" w:color="auto" w:sz="4" w:space="0"/>
              <w:bottom w:val="single" w:color="auto" w:sz="4" w:space="0"/>
              <w:right w:val="single" w:color="auto" w:sz="4" w:space="0"/>
            </w:tcBorders>
            <w:vAlign w:val="center"/>
          </w:tcPr>
          <w:p>
            <w:pPr>
              <w:ind w:firstLine="12"/>
              <w:jc w:val="center"/>
              <w:rPr>
                <w:rFonts w:ascii="宋体" w:hAnsi="宋体" w:cs="宋体"/>
                <w:b/>
                <w:highlight w:val="none"/>
              </w:rPr>
            </w:pPr>
            <w:r>
              <w:rPr>
                <w:rFonts w:hint="eastAsia" w:ascii="宋体" w:hAnsi="宋体" w:cs="宋体"/>
                <w:b/>
                <w:highlight w:val="none"/>
              </w:rPr>
              <w:t>专业工龄</w:t>
            </w:r>
          </w:p>
        </w:tc>
        <w:tc>
          <w:tcPr>
            <w:tcW w:w="1483" w:type="dxa"/>
            <w:tcBorders>
              <w:top w:val="single" w:color="auto" w:sz="4" w:space="0"/>
              <w:left w:val="single" w:color="auto" w:sz="4" w:space="0"/>
              <w:bottom w:val="single" w:color="auto" w:sz="4" w:space="0"/>
              <w:right w:val="single" w:color="auto" w:sz="4" w:space="0"/>
            </w:tcBorders>
            <w:vAlign w:val="center"/>
          </w:tcPr>
          <w:p>
            <w:pPr>
              <w:ind w:firstLine="12"/>
              <w:jc w:val="center"/>
              <w:rPr>
                <w:rFonts w:ascii="宋体" w:hAnsi="宋体" w:cs="宋体"/>
                <w:b/>
                <w:highlight w:val="none"/>
              </w:rPr>
            </w:pPr>
            <w:r>
              <w:rPr>
                <w:rFonts w:hint="eastAsia" w:ascii="宋体" w:hAnsi="宋体" w:cs="宋体"/>
                <w:b/>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exact"/>
          <w:jc w:val="center"/>
        </w:trPr>
        <w:tc>
          <w:tcPr>
            <w:tcW w:w="1100" w:type="dxa"/>
            <w:tcBorders>
              <w:top w:val="single" w:color="auto" w:sz="4" w:space="0"/>
              <w:left w:val="single" w:color="auto" w:sz="4" w:space="0"/>
              <w:bottom w:val="nil"/>
              <w:right w:val="single" w:color="auto" w:sz="4" w:space="0"/>
            </w:tcBorders>
            <w:vAlign w:val="center"/>
          </w:tcPr>
          <w:p>
            <w:pPr>
              <w:jc w:val="center"/>
              <w:rPr>
                <w:rFonts w:ascii="宋体" w:hAnsi="宋体" w:cs="宋体"/>
                <w:highlight w:val="none"/>
              </w:rPr>
            </w:pPr>
            <w:r>
              <w:rPr>
                <w:rFonts w:hint="eastAsia" w:ascii="宋体" w:hAnsi="宋体" w:cs="宋体"/>
                <w:highlight w:val="none"/>
              </w:rPr>
              <w:t>项目负责人</w:t>
            </w:r>
          </w:p>
        </w:tc>
        <w:tc>
          <w:tcPr>
            <w:tcW w:w="1618" w:type="dxa"/>
            <w:tcBorders>
              <w:top w:val="single" w:color="auto" w:sz="4" w:space="0"/>
              <w:left w:val="single" w:color="auto" w:sz="4" w:space="0"/>
              <w:bottom w:val="nil"/>
              <w:right w:val="single" w:color="auto" w:sz="4" w:space="0"/>
            </w:tcBorders>
            <w:vAlign w:val="center"/>
          </w:tcPr>
          <w:p>
            <w:pPr>
              <w:jc w:val="center"/>
              <w:rPr>
                <w:rFonts w:ascii="宋体" w:hAnsi="宋体" w:cs="宋体"/>
                <w:highlight w:val="none"/>
              </w:rPr>
            </w:pPr>
          </w:p>
        </w:tc>
        <w:tc>
          <w:tcPr>
            <w:tcW w:w="823" w:type="dxa"/>
            <w:tcBorders>
              <w:top w:val="single" w:color="auto" w:sz="4" w:space="0"/>
              <w:left w:val="single" w:color="auto" w:sz="4" w:space="0"/>
              <w:bottom w:val="nil"/>
              <w:right w:val="single" w:color="auto" w:sz="4" w:space="0"/>
            </w:tcBorders>
            <w:vAlign w:val="center"/>
          </w:tcPr>
          <w:p>
            <w:pPr>
              <w:jc w:val="center"/>
              <w:rPr>
                <w:rFonts w:ascii="宋体" w:hAnsi="宋体" w:cs="宋体"/>
                <w:highlight w:val="none"/>
              </w:rPr>
            </w:pPr>
          </w:p>
        </w:tc>
        <w:tc>
          <w:tcPr>
            <w:tcW w:w="2565" w:type="dxa"/>
            <w:tcBorders>
              <w:top w:val="single" w:color="auto" w:sz="4" w:space="0"/>
              <w:left w:val="single" w:color="auto" w:sz="4" w:space="0"/>
              <w:bottom w:val="nil"/>
              <w:right w:val="single" w:color="auto" w:sz="4" w:space="0"/>
            </w:tcBorders>
            <w:vAlign w:val="center"/>
          </w:tcPr>
          <w:p>
            <w:pPr>
              <w:pStyle w:val="143"/>
              <w:keepNext w:val="0"/>
              <w:adjustRightInd/>
              <w:spacing w:before="0" w:after="0" w:line="240" w:lineRule="auto"/>
              <w:rPr>
                <w:rFonts w:ascii="宋体" w:hAnsi="宋体" w:cs="宋体"/>
                <w:spacing w:val="0"/>
                <w:kern w:val="2"/>
                <w:sz w:val="21"/>
                <w:szCs w:val="21"/>
                <w:highlight w:val="none"/>
              </w:rPr>
            </w:pPr>
          </w:p>
        </w:tc>
        <w:tc>
          <w:tcPr>
            <w:tcW w:w="660" w:type="dxa"/>
            <w:tcBorders>
              <w:top w:val="single" w:color="auto" w:sz="4" w:space="0"/>
              <w:left w:val="single" w:color="auto" w:sz="4" w:space="0"/>
              <w:bottom w:val="nil"/>
              <w:right w:val="single" w:color="auto" w:sz="4" w:space="0"/>
            </w:tcBorders>
            <w:vAlign w:val="center"/>
          </w:tcPr>
          <w:p>
            <w:pPr>
              <w:jc w:val="center"/>
              <w:rPr>
                <w:rFonts w:ascii="宋体" w:hAnsi="宋体" w:cs="宋体"/>
                <w:highlight w:val="none"/>
              </w:rPr>
            </w:pPr>
          </w:p>
        </w:tc>
        <w:tc>
          <w:tcPr>
            <w:tcW w:w="660" w:type="dxa"/>
            <w:tcBorders>
              <w:top w:val="single" w:color="auto" w:sz="4" w:space="0"/>
              <w:left w:val="single" w:color="auto" w:sz="4" w:space="0"/>
              <w:bottom w:val="nil"/>
              <w:right w:val="single" w:color="auto" w:sz="4" w:space="0"/>
            </w:tcBorders>
            <w:vAlign w:val="center"/>
          </w:tcPr>
          <w:p>
            <w:pPr>
              <w:ind w:firstLine="12"/>
              <w:jc w:val="center"/>
              <w:rPr>
                <w:rFonts w:ascii="宋体" w:hAnsi="宋体" w:cs="宋体"/>
                <w:highlight w:val="none"/>
              </w:rPr>
            </w:pPr>
          </w:p>
        </w:tc>
        <w:tc>
          <w:tcPr>
            <w:tcW w:w="1483" w:type="dxa"/>
            <w:tcBorders>
              <w:top w:val="single" w:color="auto" w:sz="4" w:space="0"/>
              <w:left w:val="single" w:color="auto" w:sz="4" w:space="0"/>
              <w:bottom w:val="nil"/>
              <w:right w:val="single" w:color="auto" w:sz="4" w:space="0"/>
            </w:tcBorders>
            <w:vAlign w:val="center"/>
          </w:tcPr>
          <w:p>
            <w:pPr>
              <w:ind w:firstLine="12"/>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10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服务工作人员</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p>
        </w:tc>
        <w:tc>
          <w:tcPr>
            <w:tcW w:w="25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p>
        </w:tc>
        <w:tc>
          <w:tcPr>
            <w:tcW w:w="6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p>
        </w:tc>
        <w:tc>
          <w:tcPr>
            <w:tcW w:w="6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p>
        </w:tc>
        <w:tc>
          <w:tcPr>
            <w:tcW w:w="14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1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p>
        </w:tc>
        <w:tc>
          <w:tcPr>
            <w:tcW w:w="25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p>
        </w:tc>
        <w:tc>
          <w:tcPr>
            <w:tcW w:w="6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p>
        </w:tc>
        <w:tc>
          <w:tcPr>
            <w:tcW w:w="6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p>
        </w:tc>
        <w:tc>
          <w:tcPr>
            <w:tcW w:w="14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1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p>
        </w:tc>
        <w:tc>
          <w:tcPr>
            <w:tcW w:w="25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p>
        </w:tc>
        <w:tc>
          <w:tcPr>
            <w:tcW w:w="6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p>
        </w:tc>
        <w:tc>
          <w:tcPr>
            <w:tcW w:w="6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p>
        </w:tc>
        <w:tc>
          <w:tcPr>
            <w:tcW w:w="14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1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p>
        </w:tc>
        <w:tc>
          <w:tcPr>
            <w:tcW w:w="25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p>
        </w:tc>
        <w:tc>
          <w:tcPr>
            <w:tcW w:w="6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p>
        </w:tc>
        <w:tc>
          <w:tcPr>
            <w:tcW w:w="6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p>
        </w:tc>
        <w:tc>
          <w:tcPr>
            <w:tcW w:w="14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1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p>
        </w:tc>
        <w:tc>
          <w:tcPr>
            <w:tcW w:w="25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p>
        </w:tc>
        <w:tc>
          <w:tcPr>
            <w:tcW w:w="6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p>
        </w:tc>
        <w:tc>
          <w:tcPr>
            <w:tcW w:w="6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p>
        </w:tc>
        <w:tc>
          <w:tcPr>
            <w:tcW w:w="14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p>
        </w:tc>
      </w:tr>
    </w:tbl>
    <w:p>
      <w:pPr>
        <w:spacing w:line="360" w:lineRule="auto"/>
        <w:ind w:firstLine="420" w:firstLineChars="200"/>
        <w:rPr>
          <w:rFonts w:ascii="宋体" w:hAnsi="宋体" w:cs="宋体"/>
          <w:highlight w:val="none"/>
          <w:lang w:val="en-GB"/>
        </w:rPr>
      </w:pPr>
      <w:r>
        <w:rPr>
          <w:rFonts w:hint="eastAsia" w:ascii="宋体" w:hAnsi="宋体" w:cs="宋体"/>
          <w:highlight w:val="none"/>
          <w:lang w:val="en-GB"/>
        </w:rPr>
        <w:t>注：根据评审表的要求提交相应资料。</w:t>
      </w:r>
    </w:p>
    <w:p>
      <w:pPr>
        <w:pStyle w:val="6"/>
        <w:tabs>
          <w:tab w:val="left" w:pos="851"/>
        </w:tabs>
        <w:rPr>
          <w:rFonts w:hAnsi="宋体" w:cs="宋体"/>
          <w:color w:val="auto"/>
          <w:highlight w:val="none"/>
        </w:rPr>
      </w:pPr>
    </w:p>
    <w:p>
      <w:pPr>
        <w:spacing w:line="360" w:lineRule="auto"/>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9.3 其它重要事项说明及承诺（如有，请扼要叙述）</w:t>
      </w:r>
    </w:p>
    <w:p>
      <w:pPr>
        <w:pStyle w:val="4"/>
        <w:spacing w:line="360" w:lineRule="auto"/>
        <w:rPr>
          <w:rFonts w:ascii="宋体" w:hAnsi="宋体" w:cs="宋体"/>
          <w:highlight w:val="none"/>
        </w:rPr>
      </w:pPr>
    </w:p>
    <w:p>
      <w:pPr>
        <w:pStyle w:val="4"/>
        <w:spacing w:line="360" w:lineRule="auto"/>
        <w:rPr>
          <w:rFonts w:ascii="宋体" w:hAnsi="宋体" w:cs="宋体"/>
          <w:highlight w:val="none"/>
        </w:rPr>
      </w:pPr>
    </w:p>
    <w:p>
      <w:pPr>
        <w:pStyle w:val="4"/>
        <w:spacing w:line="360" w:lineRule="auto"/>
        <w:rPr>
          <w:rFonts w:ascii="宋体" w:hAnsi="宋体" w:cs="宋体"/>
          <w:highlight w:val="none"/>
        </w:rPr>
      </w:pPr>
    </w:p>
    <w:p>
      <w:pPr>
        <w:pStyle w:val="6"/>
        <w:tabs>
          <w:tab w:val="left" w:pos="540"/>
        </w:tabs>
        <w:rPr>
          <w:rFonts w:hAnsi="宋体" w:cs="宋体"/>
          <w:color w:val="auto"/>
          <w:szCs w:val="21"/>
          <w:highlight w:val="none"/>
        </w:rPr>
      </w:pPr>
    </w:p>
    <w:p>
      <w:pPr>
        <w:pStyle w:val="3"/>
        <w:keepLines w:val="0"/>
        <w:widowControl w:val="0"/>
        <w:tabs>
          <w:tab w:val="left" w:pos="851"/>
        </w:tabs>
        <w:adjustRightInd/>
        <w:snapToGrid/>
        <w:jc w:val="both"/>
        <w:rPr>
          <w:rFonts w:hAnsi="宋体" w:cs="宋体"/>
          <w:b/>
          <w:sz w:val="21"/>
          <w:szCs w:val="21"/>
          <w:highlight w:val="none"/>
        </w:rPr>
      </w:pPr>
      <w:bookmarkStart w:id="2376" w:name="_Toc518642833"/>
      <w:bookmarkStart w:id="2377" w:name="_Toc29047"/>
      <w:bookmarkStart w:id="2378" w:name="_Toc508901696"/>
      <w:bookmarkStart w:id="2379" w:name="_Toc17949"/>
      <w:bookmarkStart w:id="2380" w:name="_Toc535849059"/>
      <w:bookmarkStart w:id="2381" w:name="_Toc484599515"/>
      <w:bookmarkStart w:id="2382" w:name="_Toc519164281"/>
      <w:bookmarkStart w:id="2383" w:name="_Toc508619373"/>
      <w:bookmarkStart w:id="2384" w:name="_Toc512415782"/>
      <w:bookmarkStart w:id="2385" w:name="_Toc475522388"/>
      <w:bookmarkStart w:id="2386" w:name="_Toc27182"/>
      <w:bookmarkStart w:id="2387" w:name="_Toc508036033"/>
      <w:bookmarkStart w:id="2388" w:name="_Toc5286"/>
      <w:bookmarkStart w:id="2389" w:name="_Toc518642983"/>
      <w:bookmarkStart w:id="2390" w:name="_Toc500260815"/>
      <w:bookmarkStart w:id="2391" w:name="_Toc9939"/>
      <w:bookmarkStart w:id="2392" w:name="_Toc15161"/>
      <w:r>
        <w:rPr>
          <w:rFonts w:hint="eastAsia" w:hAnsi="宋体" w:cs="宋体"/>
          <w:b/>
          <w:sz w:val="21"/>
          <w:szCs w:val="21"/>
          <w:highlight w:val="none"/>
        </w:rPr>
        <w:t>10.供应商认为有必要说明的其他资料</w:t>
      </w:r>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p>
    <w:p>
      <w:pPr>
        <w:rPr>
          <w:rFonts w:ascii="宋体" w:hAnsi="宋体" w:cs="宋体"/>
          <w:b/>
          <w:highlight w:val="none"/>
        </w:rPr>
      </w:pPr>
      <w:bookmarkStart w:id="2393" w:name="_Toc475522389"/>
    </w:p>
    <w:bookmarkEnd w:id="2393"/>
    <w:p>
      <w:pPr>
        <w:pStyle w:val="4"/>
        <w:ind w:firstLine="0"/>
        <w:rPr>
          <w:rFonts w:ascii="宋体" w:hAnsi="宋体" w:cs="宋体"/>
          <w:highlight w:val="none"/>
        </w:rPr>
      </w:pPr>
    </w:p>
    <w:p>
      <w:pPr>
        <w:pStyle w:val="3"/>
        <w:keepLines w:val="0"/>
        <w:widowControl w:val="0"/>
        <w:tabs>
          <w:tab w:val="left" w:pos="851"/>
        </w:tabs>
        <w:adjustRightInd/>
        <w:snapToGrid/>
        <w:jc w:val="both"/>
        <w:rPr>
          <w:rFonts w:hAnsi="宋体" w:cs="宋体"/>
          <w:b/>
          <w:sz w:val="21"/>
          <w:szCs w:val="21"/>
          <w:highlight w:val="none"/>
        </w:rPr>
      </w:pPr>
      <w:r>
        <w:rPr>
          <w:rFonts w:hint="eastAsia" w:hAnsi="宋体" w:cs="宋体"/>
          <w:b/>
          <w:highlight w:val="none"/>
        </w:rPr>
        <w:br w:type="page"/>
      </w:r>
      <w:bookmarkStart w:id="2394" w:name="_Toc475522391"/>
      <w:bookmarkStart w:id="2395" w:name="_Toc94"/>
      <w:bookmarkStart w:id="2396" w:name="_Toc459708504"/>
      <w:bookmarkStart w:id="2397" w:name="_Toc512415784"/>
      <w:bookmarkStart w:id="2398" w:name="_Toc508036036"/>
      <w:bookmarkStart w:id="2399" w:name="_Toc256676965"/>
      <w:bookmarkStart w:id="2400" w:name="_Toc518642835"/>
      <w:bookmarkStart w:id="2401" w:name="_Toc475578776"/>
      <w:bookmarkStart w:id="2402" w:name="_Toc508619376"/>
      <w:bookmarkStart w:id="2403" w:name="_Toc500260818"/>
      <w:bookmarkStart w:id="2404" w:name="_Toc518642985"/>
      <w:bookmarkStart w:id="2405" w:name="_Toc458791455"/>
      <w:bookmarkStart w:id="2406" w:name="_Toc461608941"/>
      <w:bookmarkStart w:id="2407" w:name="_Toc484599518"/>
      <w:bookmarkStart w:id="2408" w:name="_Toc535849061"/>
      <w:bookmarkStart w:id="2409" w:name="_Toc7315"/>
      <w:bookmarkStart w:id="2410" w:name="_Toc19974"/>
      <w:bookmarkStart w:id="2411" w:name="_Toc508901699"/>
      <w:bookmarkStart w:id="2412" w:name="_Toc519164283"/>
      <w:bookmarkStart w:id="2413" w:name="_Toc31834"/>
      <w:bookmarkStart w:id="2414" w:name="_Toc17147"/>
      <w:bookmarkStart w:id="2415" w:name="_Toc13446"/>
      <w:r>
        <w:rPr>
          <w:rFonts w:hint="eastAsia" w:hAnsi="宋体" w:cs="宋体"/>
          <w:b/>
          <w:sz w:val="21"/>
          <w:szCs w:val="21"/>
          <w:highlight w:val="none"/>
        </w:rPr>
        <w:t>11.成交服务费支付承诺书格式</w:t>
      </w:r>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p>
    <w:p>
      <w:pPr>
        <w:spacing w:line="360" w:lineRule="auto"/>
        <w:jc w:val="center"/>
        <w:rPr>
          <w:rFonts w:ascii="宋体" w:hAnsi="宋体" w:cs="宋体"/>
          <w:b/>
          <w:highlight w:val="none"/>
        </w:rPr>
      </w:pPr>
      <w:r>
        <w:rPr>
          <w:rFonts w:hint="eastAsia" w:ascii="宋体" w:hAnsi="宋体" w:cs="宋体"/>
          <w:b/>
          <w:highlight w:val="none"/>
        </w:rPr>
        <w:t>成交服务费支付承诺书</w:t>
      </w:r>
    </w:p>
    <w:p>
      <w:pPr>
        <w:spacing w:line="400" w:lineRule="exact"/>
        <w:rPr>
          <w:rFonts w:ascii="宋体" w:hAnsi="宋体"/>
          <w:highlight w:val="none"/>
        </w:rPr>
      </w:pPr>
      <w:r>
        <w:rPr>
          <w:rFonts w:hint="eastAsia" w:ascii="宋体" w:hAnsi="宋体"/>
          <w:highlight w:val="none"/>
        </w:rPr>
        <w:t>致：广东省机电设备招标有限公司</w:t>
      </w:r>
    </w:p>
    <w:p>
      <w:pPr>
        <w:spacing w:line="400" w:lineRule="exact"/>
        <w:ind w:firstLine="420" w:firstLineChars="200"/>
        <w:rPr>
          <w:rFonts w:ascii="宋体" w:hAnsi="宋体"/>
          <w:highlight w:val="none"/>
        </w:rPr>
      </w:pPr>
      <w:r>
        <w:rPr>
          <w:rFonts w:hint="eastAsia" w:ascii="宋体" w:hAnsi="宋体"/>
          <w:highlight w:val="none"/>
        </w:rPr>
        <w:t>我司在贵司组织的</w:t>
      </w:r>
      <w:r>
        <w:rPr>
          <w:rFonts w:hint="eastAsia" w:ascii="宋体" w:hAnsi="宋体"/>
          <w:highlight w:val="none"/>
          <w:u w:val="single"/>
        </w:rPr>
        <w:t xml:space="preserve">                  </w:t>
      </w:r>
      <w:r>
        <w:rPr>
          <w:rFonts w:hint="eastAsia" w:ascii="宋体" w:hAnsi="宋体"/>
          <w:highlight w:val="none"/>
        </w:rPr>
        <w:t>项目（项目编号：</w:t>
      </w:r>
      <w:r>
        <w:rPr>
          <w:rFonts w:hint="eastAsia" w:ascii="宋体" w:hAnsi="宋体"/>
          <w:highlight w:val="none"/>
          <w:u w:val="single"/>
        </w:rPr>
        <w:t xml:space="preserve">             </w:t>
      </w:r>
      <w:r>
        <w:rPr>
          <w:rFonts w:hint="eastAsia" w:ascii="宋体" w:hAnsi="宋体"/>
          <w:highlight w:val="none"/>
        </w:rPr>
        <w:t>）</w:t>
      </w:r>
      <w:r>
        <w:rPr>
          <w:rFonts w:hint="eastAsia" w:ascii="宋体" w:hAnsi="宋体" w:cs="宋体"/>
          <w:highlight w:val="none"/>
          <w:lang w:val="en-US" w:eastAsia="zh-CN"/>
        </w:rPr>
        <w:t>投标</w:t>
      </w:r>
      <w:r>
        <w:rPr>
          <w:rFonts w:hint="eastAsia" w:ascii="宋体" w:hAnsi="宋体"/>
          <w:highlight w:val="none"/>
        </w:rPr>
        <w:t>中如获成交，我司保证在领取“成交通知书”前，按照</w:t>
      </w:r>
      <w:r>
        <w:rPr>
          <w:rFonts w:hint="eastAsia" w:ascii="宋体" w:hAnsi="宋体" w:cs="宋体"/>
          <w:bCs/>
          <w:szCs w:val="21"/>
          <w:highlight w:val="none"/>
        </w:rPr>
        <w:t>磋商</w:t>
      </w:r>
      <w:r>
        <w:rPr>
          <w:rFonts w:hint="eastAsia" w:ascii="宋体" w:hAnsi="宋体"/>
          <w:highlight w:val="none"/>
        </w:rPr>
        <w:t>文件的相关规定向贵司缴纳成交服务费。</w:t>
      </w:r>
    </w:p>
    <w:p>
      <w:pPr>
        <w:spacing w:line="400" w:lineRule="exact"/>
        <w:ind w:firstLine="420" w:firstLineChars="200"/>
        <w:rPr>
          <w:rFonts w:ascii="宋体" w:hAnsi="宋体"/>
          <w:highlight w:val="none"/>
        </w:rPr>
      </w:pPr>
      <w:r>
        <w:rPr>
          <w:rFonts w:hint="eastAsia" w:ascii="宋体" w:hAnsi="宋体"/>
          <w:highlight w:val="none"/>
        </w:rPr>
        <w:t>特此承诺！</w:t>
      </w:r>
    </w:p>
    <w:p>
      <w:pPr>
        <w:spacing w:line="400" w:lineRule="exact"/>
        <w:rPr>
          <w:rFonts w:ascii="宋体" w:hAnsi="宋体"/>
          <w:highlight w:val="none"/>
        </w:rPr>
      </w:pPr>
    </w:p>
    <w:p>
      <w:pPr>
        <w:spacing w:line="400" w:lineRule="exact"/>
        <w:ind w:firstLine="420" w:firstLineChars="200"/>
        <w:rPr>
          <w:rFonts w:ascii="宋体" w:hAnsi="宋体"/>
          <w:highlight w:val="none"/>
        </w:rPr>
      </w:pPr>
      <w:r>
        <w:rPr>
          <w:rFonts w:hint="eastAsia" w:ascii="宋体" w:hAnsi="宋体"/>
          <w:highlight w:val="none"/>
        </w:rPr>
        <w:t>另：</w:t>
      </w:r>
    </w:p>
    <w:p>
      <w:pPr>
        <w:spacing w:line="400" w:lineRule="exact"/>
        <w:ind w:firstLine="420" w:firstLineChars="200"/>
        <w:rPr>
          <w:rFonts w:ascii="宋体" w:hAnsi="宋体"/>
          <w:highlight w:val="none"/>
        </w:rPr>
      </w:pPr>
      <w:r>
        <w:rPr>
          <w:rFonts w:hint="eastAsia" w:ascii="宋体" w:hAnsi="宋体"/>
          <w:highlight w:val="none"/>
        </w:rPr>
        <w:t>关于我司缴纳成交服务费后开具成交服务费发票的事宜，我司声明如下：</w:t>
      </w:r>
    </w:p>
    <w:p>
      <w:pPr>
        <w:spacing w:line="400" w:lineRule="exact"/>
        <w:ind w:firstLine="420" w:firstLineChars="200"/>
        <w:rPr>
          <w:rFonts w:ascii="宋体" w:hAnsi="宋体"/>
          <w:highlight w:val="none"/>
        </w:rPr>
      </w:pPr>
      <w:r>
        <w:rPr>
          <w:rFonts w:hint="eastAsia" w:ascii="宋体" w:hAnsi="宋体"/>
          <w:highlight w:val="none"/>
        </w:rPr>
        <w:t>于下方</w:t>
      </w:r>
      <w:r>
        <w:rPr>
          <w:rFonts w:hint="eastAsia" w:ascii="宋体" w:hAnsi="宋体"/>
          <w:highlight w:val="none"/>
        </w:rPr>
        <w:sym w:font="Wingdings 2" w:char="00A3"/>
      </w:r>
      <w:r>
        <w:rPr>
          <w:rFonts w:hint="eastAsia" w:ascii="宋体" w:hAnsi="宋体"/>
          <w:highlight w:val="none"/>
        </w:rPr>
        <w:t>打“√”：</w:t>
      </w:r>
    </w:p>
    <w:p>
      <w:pPr>
        <w:spacing w:line="400" w:lineRule="exact"/>
        <w:ind w:firstLine="420" w:firstLineChars="200"/>
        <w:rPr>
          <w:rFonts w:ascii="宋体" w:hAnsi="宋体"/>
          <w:highlight w:val="none"/>
        </w:rPr>
      </w:pPr>
      <w:r>
        <w:rPr>
          <w:rFonts w:hint="eastAsia" w:ascii="宋体" w:hAnsi="宋体"/>
          <w:highlight w:val="none"/>
        </w:rPr>
        <w:sym w:font="Wingdings 2" w:char="00A3"/>
      </w:r>
      <w:r>
        <w:rPr>
          <w:rFonts w:hint="eastAsia" w:ascii="宋体" w:hAnsi="宋体"/>
          <w:highlight w:val="none"/>
        </w:rPr>
        <w:t xml:space="preserve"> 请向我司开具成交服务费的“增值税普通发票”，开票信息如下：</w:t>
      </w:r>
    </w:p>
    <w:p>
      <w:pPr>
        <w:spacing w:line="400" w:lineRule="exact"/>
        <w:ind w:firstLine="840" w:firstLineChars="400"/>
        <w:rPr>
          <w:rFonts w:ascii="宋体" w:hAnsi="宋体"/>
          <w:highlight w:val="none"/>
        </w:rPr>
      </w:pPr>
      <w:r>
        <w:rPr>
          <w:rFonts w:hint="eastAsia" w:ascii="宋体" w:hAnsi="宋体"/>
          <w:highlight w:val="none"/>
        </w:rPr>
        <w:t>（1）企业名称：</w:t>
      </w:r>
      <w:r>
        <w:rPr>
          <w:rFonts w:hint="eastAsia" w:ascii="宋体" w:hAnsi="宋体"/>
          <w:highlight w:val="none"/>
          <w:u w:val="single"/>
        </w:rPr>
        <w:t xml:space="preserve">                   </w:t>
      </w:r>
    </w:p>
    <w:p>
      <w:pPr>
        <w:spacing w:line="400" w:lineRule="exact"/>
        <w:ind w:firstLine="840" w:firstLineChars="400"/>
        <w:rPr>
          <w:rFonts w:ascii="宋体" w:hAnsi="宋体"/>
          <w:highlight w:val="none"/>
        </w:rPr>
      </w:pPr>
      <w:r>
        <w:rPr>
          <w:rFonts w:hint="eastAsia" w:ascii="宋体" w:hAnsi="宋体"/>
          <w:highlight w:val="none"/>
        </w:rPr>
        <w:t>（2）纳税登记号：</w:t>
      </w:r>
      <w:r>
        <w:rPr>
          <w:rFonts w:hint="eastAsia" w:ascii="宋体" w:hAnsi="宋体"/>
          <w:highlight w:val="none"/>
          <w:u w:val="single"/>
        </w:rPr>
        <w:t xml:space="preserve">                 </w:t>
      </w:r>
    </w:p>
    <w:p>
      <w:pPr>
        <w:spacing w:line="400" w:lineRule="exact"/>
        <w:ind w:firstLine="420" w:firstLineChars="200"/>
        <w:rPr>
          <w:rFonts w:ascii="宋体" w:hAnsi="宋体"/>
          <w:highlight w:val="none"/>
        </w:rPr>
      </w:pPr>
    </w:p>
    <w:p>
      <w:pPr>
        <w:spacing w:line="400" w:lineRule="exact"/>
        <w:ind w:firstLine="420" w:firstLineChars="200"/>
        <w:rPr>
          <w:rFonts w:ascii="宋体" w:hAnsi="宋体"/>
          <w:highlight w:val="none"/>
        </w:rPr>
      </w:pPr>
      <w:r>
        <w:rPr>
          <w:rFonts w:hint="eastAsia" w:ascii="宋体" w:hAnsi="宋体"/>
          <w:highlight w:val="none"/>
        </w:rPr>
        <w:sym w:font="Wingdings 2" w:char="00A3"/>
      </w:r>
      <w:r>
        <w:rPr>
          <w:rFonts w:hint="eastAsia" w:ascii="宋体" w:hAnsi="宋体"/>
          <w:highlight w:val="none"/>
        </w:rPr>
        <w:t xml:space="preserve"> 请向我司开具成交服务费的“增值税专用发票”，开票信息为：</w:t>
      </w:r>
    </w:p>
    <w:p>
      <w:pPr>
        <w:spacing w:line="400" w:lineRule="exact"/>
        <w:ind w:firstLine="840" w:firstLineChars="400"/>
        <w:rPr>
          <w:rFonts w:ascii="宋体" w:hAnsi="宋体"/>
          <w:highlight w:val="none"/>
        </w:rPr>
      </w:pPr>
      <w:r>
        <w:rPr>
          <w:rFonts w:hint="eastAsia" w:ascii="宋体" w:hAnsi="宋体"/>
          <w:highlight w:val="none"/>
        </w:rPr>
        <w:t>（1）企业名称：</w:t>
      </w:r>
      <w:r>
        <w:rPr>
          <w:rFonts w:hint="eastAsia" w:ascii="宋体" w:hAnsi="宋体"/>
          <w:highlight w:val="none"/>
          <w:u w:val="single"/>
        </w:rPr>
        <w:t xml:space="preserve">                  </w:t>
      </w:r>
    </w:p>
    <w:p>
      <w:pPr>
        <w:spacing w:line="400" w:lineRule="exact"/>
        <w:ind w:firstLine="840" w:firstLineChars="400"/>
        <w:rPr>
          <w:rFonts w:ascii="宋体" w:hAnsi="宋体"/>
          <w:highlight w:val="none"/>
        </w:rPr>
      </w:pPr>
      <w:r>
        <w:rPr>
          <w:rFonts w:hint="eastAsia" w:ascii="宋体" w:hAnsi="宋体"/>
          <w:highlight w:val="none"/>
        </w:rPr>
        <w:t>（2）纳税登记号：</w:t>
      </w:r>
      <w:r>
        <w:rPr>
          <w:rFonts w:hint="eastAsia" w:ascii="宋体" w:hAnsi="宋体"/>
          <w:highlight w:val="none"/>
          <w:u w:val="single"/>
        </w:rPr>
        <w:t xml:space="preserve">                  </w:t>
      </w:r>
    </w:p>
    <w:p>
      <w:pPr>
        <w:spacing w:line="400" w:lineRule="exact"/>
        <w:ind w:firstLine="840" w:firstLineChars="400"/>
        <w:rPr>
          <w:rFonts w:ascii="宋体" w:hAnsi="宋体"/>
          <w:highlight w:val="none"/>
        </w:rPr>
      </w:pPr>
      <w:r>
        <w:rPr>
          <w:rFonts w:hint="eastAsia" w:ascii="宋体" w:hAnsi="宋体"/>
          <w:highlight w:val="none"/>
        </w:rPr>
        <w:t>（3）企业地址：</w:t>
      </w:r>
      <w:r>
        <w:rPr>
          <w:rFonts w:hint="eastAsia" w:ascii="宋体" w:hAnsi="宋体"/>
          <w:highlight w:val="none"/>
          <w:u w:val="single"/>
        </w:rPr>
        <w:t xml:space="preserve">                  </w:t>
      </w:r>
    </w:p>
    <w:p>
      <w:pPr>
        <w:spacing w:line="400" w:lineRule="exact"/>
        <w:ind w:firstLine="840" w:firstLineChars="400"/>
        <w:rPr>
          <w:rFonts w:ascii="宋体" w:hAnsi="宋体"/>
          <w:highlight w:val="none"/>
        </w:rPr>
      </w:pPr>
      <w:r>
        <w:rPr>
          <w:rFonts w:hint="eastAsia" w:ascii="宋体" w:hAnsi="宋体"/>
          <w:highlight w:val="none"/>
        </w:rPr>
        <w:t>（4）办公电话（固话）：</w:t>
      </w:r>
      <w:r>
        <w:rPr>
          <w:rFonts w:hint="eastAsia" w:ascii="宋体" w:hAnsi="宋体"/>
          <w:highlight w:val="none"/>
          <w:u w:val="single"/>
        </w:rPr>
        <w:t xml:space="preserve">                  </w:t>
      </w:r>
    </w:p>
    <w:p>
      <w:pPr>
        <w:spacing w:line="400" w:lineRule="exact"/>
        <w:ind w:firstLine="840" w:firstLineChars="400"/>
        <w:rPr>
          <w:rFonts w:ascii="宋体" w:hAnsi="宋体"/>
          <w:highlight w:val="none"/>
        </w:rPr>
      </w:pPr>
      <w:r>
        <w:rPr>
          <w:rFonts w:hint="eastAsia" w:ascii="宋体" w:hAnsi="宋体"/>
          <w:highlight w:val="none"/>
        </w:rPr>
        <w:t>（5）开户银行：</w:t>
      </w:r>
      <w:r>
        <w:rPr>
          <w:rFonts w:hint="eastAsia" w:ascii="宋体" w:hAnsi="宋体"/>
          <w:highlight w:val="none"/>
          <w:u w:val="single"/>
        </w:rPr>
        <w:t xml:space="preserve">                 </w:t>
      </w:r>
    </w:p>
    <w:p>
      <w:pPr>
        <w:spacing w:line="400" w:lineRule="exact"/>
        <w:ind w:firstLine="840" w:firstLineChars="400"/>
        <w:rPr>
          <w:rFonts w:ascii="宋体" w:hAnsi="宋体"/>
          <w:highlight w:val="none"/>
          <w:u w:val="single"/>
        </w:rPr>
      </w:pPr>
      <w:r>
        <w:rPr>
          <w:rFonts w:hint="eastAsia" w:ascii="宋体" w:hAnsi="宋体"/>
          <w:highlight w:val="none"/>
        </w:rPr>
        <w:t>（6）账号：</w:t>
      </w:r>
      <w:r>
        <w:rPr>
          <w:rFonts w:hint="eastAsia" w:ascii="宋体" w:hAnsi="宋体"/>
          <w:highlight w:val="none"/>
          <w:u w:val="single"/>
        </w:rPr>
        <w:t xml:space="preserve">                     </w:t>
      </w:r>
    </w:p>
    <w:p>
      <w:pPr>
        <w:spacing w:line="400" w:lineRule="exact"/>
        <w:ind w:firstLine="840" w:firstLineChars="400"/>
        <w:rPr>
          <w:rFonts w:ascii="宋体" w:hAnsi="宋体"/>
          <w:highlight w:val="none"/>
        </w:rPr>
      </w:pPr>
      <w:r>
        <w:rPr>
          <w:rFonts w:hint="eastAsia" w:ascii="宋体" w:hAnsi="宋体"/>
          <w:highlight w:val="none"/>
        </w:rPr>
        <w:t>特此声明！</w:t>
      </w:r>
    </w:p>
    <w:p>
      <w:pPr>
        <w:spacing w:line="400" w:lineRule="exact"/>
        <w:rPr>
          <w:rFonts w:ascii="宋体" w:hAnsi="宋体"/>
          <w:highlight w:val="none"/>
        </w:rPr>
      </w:pPr>
    </w:p>
    <w:p>
      <w:pPr>
        <w:spacing w:line="360" w:lineRule="auto"/>
        <w:rPr>
          <w:rFonts w:ascii="宋体" w:hAnsi="宋体"/>
          <w:highlight w:val="none"/>
        </w:rPr>
      </w:pPr>
      <w:r>
        <w:rPr>
          <w:rFonts w:hint="eastAsia" w:ascii="宋体" w:hAnsi="宋体"/>
          <w:highlight w:val="none"/>
        </w:rPr>
        <w:t>供应商名称（单位公章）：</w:t>
      </w:r>
    </w:p>
    <w:p>
      <w:pPr>
        <w:pStyle w:val="4"/>
        <w:spacing w:line="360" w:lineRule="auto"/>
        <w:ind w:firstLine="0"/>
        <w:rPr>
          <w:highlight w:val="none"/>
        </w:rPr>
      </w:pPr>
      <w:r>
        <w:rPr>
          <w:rFonts w:hint="eastAsia" w:ascii="宋体" w:hAnsi="宋体"/>
          <w:highlight w:val="none"/>
        </w:rPr>
        <w:t>法定代表人或其授权代表（签字）：</w:t>
      </w:r>
    </w:p>
    <w:p>
      <w:pPr>
        <w:spacing w:line="360" w:lineRule="auto"/>
        <w:rPr>
          <w:rFonts w:ascii="宋体" w:hAnsi="宋体"/>
          <w:highlight w:val="none"/>
        </w:rPr>
      </w:pPr>
      <w:r>
        <w:rPr>
          <w:rFonts w:hint="eastAsia" w:ascii="宋体" w:hAnsi="宋体"/>
          <w:highlight w:val="none"/>
        </w:rPr>
        <w:t>日期：   年   月   日</w:t>
      </w:r>
    </w:p>
    <w:p>
      <w:pPr>
        <w:spacing w:line="400" w:lineRule="exact"/>
        <w:rPr>
          <w:rFonts w:ascii="宋体" w:hAnsi="宋体"/>
          <w:highlight w:val="none"/>
        </w:rPr>
      </w:pPr>
    </w:p>
    <w:p>
      <w:pPr>
        <w:spacing w:line="360" w:lineRule="auto"/>
        <w:ind w:left="424" w:hanging="424" w:hangingChars="202"/>
        <w:rPr>
          <w:rFonts w:ascii="宋体" w:hAnsi="宋体" w:cs="宋体"/>
          <w:highlight w:val="none"/>
        </w:rPr>
      </w:pPr>
      <w:r>
        <w:rPr>
          <w:rFonts w:hint="eastAsia" w:ascii="宋体" w:hAnsi="宋体"/>
          <w:highlight w:val="none"/>
        </w:rPr>
        <w:t>注：如成交供应商不能通过广咨电子招投标交易平台网站（http://www.gzebid.cn）缴纳成交服务费，请联系项目负责人以其他方式（如银行转账等）缴纳。供应商请注意区分磋商保证金及成交服务费收款账号的区别，务必将保证金按</w:t>
      </w:r>
      <w:r>
        <w:rPr>
          <w:rFonts w:hint="eastAsia" w:ascii="宋体" w:hAnsi="宋体" w:cs="宋体"/>
          <w:bCs/>
          <w:szCs w:val="21"/>
          <w:highlight w:val="none"/>
        </w:rPr>
        <w:t>磋商</w:t>
      </w:r>
      <w:r>
        <w:rPr>
          <w:rFonts w:hint="eastAsia" w:ascii="宋体" w:hAnsi="宋体"/>
          <w:highlight w:val="none"/>
        </w:rPr>
        <w:t>文件的要求存入指定的保证金专用账户，成交服务费存入成交通知书中指定的服务费账户。切勿将款项转错账户，以免影响保证金退还的速度。</w:t>
      </w:r>
    </w:p>
    <w:p>
      <w:pPr>
        <w:pStyle w:val="4"/>
        <w:spacing w:line="480" w:lineRule="auto"/>
        <w:ind w:firstLine="0"/>
        <w:rPr>
          <w:rFonts w:ascii="宋体" w:hAnsi="宋体" w:cs="宋体"/>
          <w:highlight w:val="none"/>
        </w:rPr>
      </w:pPr>
    </w:p>
    <w:p>
      <w:pPr>
        <w:pStyle w:val="4"/>
        <w:spacing w:line="480" w:lineRule="auto"/>
        <w:ind w:firstLine="0"/>
        <w:rPr>
          <w:rFonts w:ascii="宋体" w:hAnsi="宋体" w:cs="宋体"/>
          <w:highlight w:val="none"/>
        </w:rPr>
      </w:pPr>
    </w:p>
    <w:p>
      <w:pPr>
        <w:pStyle w:val="3"/>
        <w:keepLines w:val="0"/>
        <w:widowControl w:val="0"/>
        <w:tabs>
          <w:tab w:val="left" w:pos="851"/>
        </w:tabs>
        <w:adjustRightInd/>
        <w:snapToGrid/>
        <w:jc w:val="both"/>
        <w:rPr>
          <w:rFonts w:hAnsi="宋体" w:cs="宋体"/>
          <w:b/>
          <w:sz w:val="21"/>
          <w:szCs w:val="21"/>
          <w:highlight w:val="none"/>
        </w:rPr>
      </w:pPr>
      <w:bookmarkStart w:id="2416" w:name="_Toc518642986"/>
      <w:bookmarkStart w:id="2417" w:name="_Toc19648"/>
      <w:bookmarkStart w:id="2418" w:name="_Toc518642836"/>
      <w:bookmarkStart w:id="2419" w:name="_Toc25124"/>
      <w:bookmarkStart w:id="2420" w:name="_Toc508619377"/>
      <w:bookmarkStart w:id="2421" w:name="_Toc11692"/>
      <w:bookmarkStart w:id="2422" w:name="_Toc519164284"/>
      <w:bookmarkStart w:id="2423" w:name="_Toc535849062"/>
      <w:bookmarkStart w:id="2424" w:name="_Toc512415785"/>
      <w:bookmarkStart w:id="2425" w:name="_Toc508901700"/>
      <w:bookmarkStart w:id="2426" w:name="_Toc508036037"/>
      <w:bookmarkStart w:id="2427" w:name="_Toc8109"/>
      <w:bookmarkStart w:id="2428" w:name="_Toc8535"/>
      <w:bookmarkStart w:id="2429" w:name="_Toc25796"/>
      <w:r>
        <w:rPr>
          <w:rFonts w:hint="eastAsia" w:hAnsi="宋体" w:cs="宋体"/>
          <w:b/>
          <w:sz w:val="21"/>
          <w:szCs w:val="21"/>
          <w:highlight w:val="none"/>
        </w:rPr>
        <w:t>12.磋商保证金凭证信封</w:t>
      </w:r>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p>
    <w:p>
      <w:pPr>
        <w:pStyle w:val="6"/>
        <w:tabs>
          <w:tab w:val="left" w:pos="851"/>
        </w:tabs>
        <w:spacing w:line="480" w:lineRule="auto"/>
        <w:ind w:left="844" w:leftChars="200" w:hanging="424" w:hangingChars="201"/>
        <w:rPr>
          <w:rFonts w:hAnsi="宋体" w:cs="宋体"/>
          <w:b/>
          <w:szCs w:val="21"/>
          <w:highlight w:val="none"/>
        </w:rPr>
      </w:pPr>
      <w:bookmarkStart w:id="2430" w:name="_Toc461608943"/>
      <w:bookmarkStart w:id="2431" w:name="_Toc475578778"/>
      <w:bookmarkStart w:id="2432" w:name="_Toc475522393"/>
      <w:bookmarkStart w:id="2433" w:name="_Toc459708506"/>
    </w:p>
    <w:p>
      <w:pPr>
        <w:pStyle w:val="6"/>
        <w:tabs>
          <w:tab w:val="left" w:pos="851"/>
        </w:tabs>
        <w:spacing w:line="480" w:lineRule="auto"/>
        <w:ind w:left="844" w:leftChars="200" w:hanging="424" w:hangingChars="201"/>
        <w:rPr>
          <w:rFonts w:hAnsi="宋体" w:cs="宋体"/>
          <w:color w:val="auto"/>
          <w:highlight w:val="none"/>
        </w:rPr>
      </w:pPr>
      <w:r>
        <w:rPr>
          <w:rFonts w:hint="eastAsia" w:hAnsi="宋体" w:cs="宋体"/>
          <w:b/>
          <w:szCs w:val="21"/>
          <w:highlight w:val="none"/>
        </w:rPr>
        <w:t>密封后随响应文件递交：</w:t>
      </w:r>
    </w:p>
    <w:p>
      <w:pPr>
        <w:pStyle w:val="6"/>
        <w:tabs>
          <w:tab w:val="left" w:pos="851"/>
        </w:tabs>
        <w:spacing w:line="480" w:lineRule="auto"/>
        <w:ind w:left="842" w:leftChars="200" w:hanging="422" w:hangingChars="201"/>
        <w:rPr>
          <w:rFonts w:hAnsi="宋体" w:cs="宋体"/>
          <w:color w:val="auto"/>
          <w:highlight w:val="none"/>
        </w:rPr>
      </w:pPr>
      <w:r>
        <w:rPr>
          <w:rFonts w:hint="eastAsia" w:hAnsi="宋体" w:cs="宋体"/>
          <w:color w:val="auto"/>
          <w:highlight w:val="none"/>
        </w:rPr>
        <w:t>12.1 退磋商保证金说明（原件）</w:t>
      </w:r>
    </w:p>
    <w:p>
      <w:pPr>
        <w:pStyle w:val="6"/>
        <w:tabs>
          <w:tab w:val="left" w:pos="851"/>
        </w:tabs>
        <w:spacing w:line="480" w:lineRule="auto"/>
        <w:ind w:left="842" w:leftChars="200" w:hanging="422" w:hangingChars="201"/>
        <w:rPr>
          <w:rFonts w:hAnsi="宋体" w:cs="宋体"/>
          <w:color w:val="auto"/>
          <w:highlight w:val="none"/>
        </w:rPr>
      </w:pPr>
      <w:r>
        <w:rPr>
          <w:rFonts w:hint="eastAsia" w:hAnsi="宋体" w:cs="宋体"/>
          <w:color w:val="auto"/>
          <w:highlight w:val="none"/>
        </w:rPr>
        <w:t>12.2 交付磋商保证金的银行回单复印件</w:t>
      </w:r>
    </w:p>
    <w:p>
      <w:pPr>
        <w:rPr>
          <w:rFonts w:ascii="宋体" w:hAnsi="宋体" w:cs="宋体"/>
          <w:b/>
          <w:highlight w:val="none"/>
        </w:rPr>
      </w:pPr>
    </w:p>
    <w:p>
      <w:pPr>
        <w:rPr>
          <w:rFonts w:ascii="宋体" w:hAnsi="宋体" w:cs="宋体"/>
          <w:b/>
          <w:highlight w:val="none"/>
        </w:rPr>
      </w:pPr>
    </w:p>
    <w:p>
      <w:pPr>
        <w:pStyle w:val="3"/>
        <w:keepLines w:val="0"/>
        <w:widowControl w:val="0"/>
        <w:tabs>
          <w:tab w:val="left" w:pos="851"/>
        </w:tabs>
        <w:adjustRightInd/>
        <w:snapToGrid/>
        <w:jc w:val="both"/>
        <w:rPr>
          <w:rFonts w:hAnsi="宋体" w:cs="宋体"/>
          <w:b/>
          <w:sz w:val="21"/>
          <w:szCs w:val="21"/>
          <w:highlight w:val="none"/>
        </w:rPr>
      </w:pPr>
      <w:bookmarkStart w:id="2434" w:name="_Toc512415786"/>
      <w:bookmarkStart w:id="2435" w:name="_Toc518642837"/>
      <w:bookmarkStart w:id="2436" w:name="_Toc484599520"/>
      <w:bookmarkStart w:id="2437" w:name="_Toc508901701"/>
      <w:bookmarkStart w:id="2438" w:name="_Toc519164285"/>
      <w:bookmarkStart w:id="2439" w:name="_Toc518642987"/>
      <w:bookmarkStart w:id="2440" w:name="_Toc508619378"/>
      <w:bookmarkStart w:id="2441" w:name="_Toc500260820"/>
      <w:bookmarkStart w:id="2442" w:name="_Toc508036038"/>
      <w:r>
        <w:rPr>
          <w:rFonts w:hint="eastAsia" w:hAnsi="宋体" w:cs="宋体"/>
          <w:b/>
          <w:sz w:val="21"/>
          <w:szCs w:val="21"/>
          <w:highlight w:val="none"/>
        </w:rPr>
        <w:br w:type="page"/>
      </w:r>
      <w:bookmarkStart w:id="2443" w:name="_Toc9234"/>
      <w:bookmarkStart w:id="2444" w:name="_Toc12558"/>
      <w:bookmarkStart w:id="2445" w:name="_Toc24849"/>
      <w:bookmarkStart w:id="2446" w:name="_Toc9017"/>
      <w:bookmarkStart w:id="2447" w:name="_Toc535849063"/>
      <w:bookmarkStart w:id="2448" w:name="_Toc4469"/>
      <w:bookmarkStart w:id="2449" w:name="_Toc4684"/>
      <w:r>
        <w:rPr>
          <w:rFonts w:hint="eastAsia" w:hAnsi="宋体" w:cs="宋体"/>
          <w:b/>
          <w:sz w:val="21"/>
          <w:szCs w:val="21"/>
          <w:highlight w:val="none"/>
        </w:rPr>
        <w:t>13.退磋商保证金说明</w:t>
      </w:r>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p>
    <w:p>
      <w:pPr>
        <w:spacing w:line="480" w:lineRule="auto"/>
        <w:ind w:firstLine="420" w:firstLineChars="200"/>
        <w:rPr>
          <w:rFonts w:ascii="宋体" w:hAnsi="宋体" w:cs="宋体"/>
          <w:highlight w:val="none"/>
        </w:rPr>
      </w:pPr>
      <w:r>
        <w:rPr>
          <w:rFonts w:hint="eastAsia" w:ascii="宋体" w:hAnsi="宋体" w:cs="宋体"/>
          <w:highlight w:val="none"/>
        </w:rPr>
        <w:t>为使保证金得以顺利退还，请供应商仔细阅读以下表中说明并执行。</w:t>
      </w:r>
    </w:p>
    <w:p>
      <w:pPr>
        <w:snapToGrid w:val="0"/>
        <w:spacing w:line="360" w:lineRule="auto"/>
        <w:ind w:firstLine="413" w:firstLineChars="196"/>
        <w:rPr>
          <w:rFonts w:ascii="宋体" w:hAnsi="宋体" w:cs="宋体"/>
          <w:b/>
          <w:highlight w:val="none"/>
        </w:rPr>
      </w:pPr>
      <w:r>
        <w:rPr>
          <w:rFonts w:hint="eastAsia" w:ascii="宋体" w:hAnsi="宋体" w:cs="宋体"/>
          <w:b/>
          <w:highlight w:val="none"/>
        </w:rPr>
        <w:t>◆按照要求填写及签章，提交原件一式两份（一份放入磋商保证金凭证信封，一份装订在响应文件正本中）。</w:t>
      </w:r>
    </w:p>
    <w:p>
      <w:pPr>
        <w:snapToGrid w:val="0"/>
        <w:spacing w:line="360" w:lineRule="auto"/>
        <w:rPr>
          <w:rFonts w:ascii="宋体" w:hAnsi="宋体" w:cs="宋体"/>
          <w:highlight w:val="none"/>
        </w:rPr>
      </w:pPr>
      <w:r>
        <w:rPr>
          <w:rFonts w:hint="eastAsia" w:ascii="宋体" w:hAnsi="宋体" w:cs="宋体"/>
          <w:highlight w:val="none"/>
        </w:rPr>
        <w:t>致：广东省机电设备招标有限公司</w:t>
      </w:r>
    </w:p>
    <w:p>
      <w:pPr>
        <w:spacing w:line="360" w:lineRule="auto"/>
        <w:ind w:left="48" w:leftChars="23" w:firstLine="420" w:firstLineChars="200"/>
        <w:rPr>
          <w:rFonts w:ascii="宋体" w:hAnsi="宋体" w:cs="宋体"/>
          <w:highlight w:val="none"/>
        </w:rPr>
      </w:pPr>
      <w:r>
        <w:rPr>
          <w:rFonts w:hint="eastAsia" w:ascii="宋体" w:hAnsi="宋体" w:cs="宋体"/>
          <w:highlight w:val="none"/>
        </w:rPr>
        <w:t>我方参与贵公司</w:t>
      </w:r>
      <w:r>
        <w:rPr>
          <w:rFonts w:hint="eastAsia" w:ascii="宋体" w:hAnsi="宋体" w:cs="宋体"/>
          <w:highlight w:val="none"/>
          <w:u w:val="single"/>
        </w:rPr>
        <w:t xml:space="preserve">                        项目</w:t>
      </w:r>
      <w:r>
        <w:rPr>
          <w:rFonts w:hint="eastAsia" w:ascii="宋体" w:hAnsi="宋体" w:cs="宋体"/>
          <w:highlight w:val="none"/>
        </w:rPr>
        <w:t>[项目编号：</w:t>
      </w:r>
      <w:r>
        <w:rPr>
          <w:rFonts w:hint="eastAsia" w:ascii="宋体" w:hAnsi="宋体" w:cs="宋体"/>
          <w:highlight w:val="none"/>
          <w:u w:val="single"/>
        </w:rPr>
        <w:t xml:space="preserve">          </w:t>
      </w:r>
      <w:r>
        <w:rPr>
          <w:rFonts w:hint="eastAsia" w:ascii="宋体" w:hAnsi="宋体" w:cs="宋体"/>
          <w:highlight w:val="none"/>
        </w:rPr>
        <w:t>]的</w:t>
      </w:r>
      <w:r>
        <w:rPr>
          <w:rFonts w:hint="eastAsia" w:ascii="宋体" w:hAnsi="宋体" w:cs="宋体"/>
          <w:highlight w:val="none"/>
          <w:lang w:val="en-US" w:eastAsia="zh-CN"/>
        </w:rPr>
        <w:t>投标</w:t>
      </w:r>
      <w:r>
        <w:rPr>
          <w:rFonts w:hint="eastAsia" w:ascii="宋体" w:hAnsi="宋体" w:cs="宋体"/>
          <w:highlight w:val="none"/>
        </w:rPr>
        <w:t>已通过子账号方式缴纳保证金。所提交的保证金为人民币</w:t>
      </w:r>
      <w:r>
        <w:rPr>
          <w:rFonts w:hint="eastAsia" w:ascii="宋体" w:hAnsi="宋体" w:cs="宋体"/>
          <w:highlight w:val="none"/>
          <w:u w:val="single"/>
        </w:rPr>
        <w:t xml:space="preserve">       </w:t>
      </w:r>
      <w:r>
        <w:rPr>
          <w:rFonts w:hint="eastAsia" w:ascii="宋体" w:hAnsi="宋体" w:cs="宋体"/>
          <w:highlight w:val="none"/>
        </w:rPr>
        <w:t>元，请贵公司退还时划到以下账户：</w:t>
      </w:r>
    </w:p>
    <w:tbl>
      <w:tblPr>
        <w:tblStyle w:val="46"/>
        <w:tblW w:w="9434" w:type="dxa"/>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594"/>
        <w:gridCol w:w="2160"/>
        <w:gridCol w:w="14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540" w:type="dxa"/>
            <w:vMerge w:val="restart"/>
            <w:vAlign w:val="center"/>
          </w:tcPr>
          <w:p>
            <w:pPr>
              <w:jc w:val="center"/>
              <w:rPr>
                <w:rFonts w:ascii="宋体" w:hAnsi="宋体" w:cs="宋体"/>
                <w:highlight w:val="none"/>
              </w:rPr>
            </w:pPr>
            <w:r>
              <w:rPr>
                <w:rFonts w:hint="eastAsia" w:ascii="宋体" w:hAnsi="宋体" w:cs="宋体"/>
                <w:highlight w:val="none"/>
              </w:rPr>
              <w:t>收款单位</w:t>
            </w:r>
          </w:p>
        </w:tc>
        <w:tc>
          <w:tcPr>
            <w:tcW w:w="2594" w:type="dxa"/>
            <w:vAlign w:val="center"/>
          </w:tcPr>
          <w:p>
            <w:pPr>
              <w:jc w:val="center"/>
              <w:rPr>
                <w:rFonts w:ascii="宋体" w:hAnsi="宋体" w:cs="宋体"/>
                <w:highlight w:val="none"/>
              </w:rPr>
            </w:pPr>
            <w:r>
              <w:rPr>
                <w:rFonts w:hint="eastAsia" w:ascii="宋体" w:hAnsi="宋体" w:cs="宋体"/>
                <w:highlight w:val="none"/>
              </w:rPr>
              <w:t>收款单位名称</w:t>
            </w:r>
          </w:p>
        </w:tc>
        <w:tc>
          <w:tcPr>
            <w:tcW w:w="6300" w:type="dxa"/>
            <w:gridSpan w:val="3"/>
            <w:vAlign w:val="center"/>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540" w:type="dxa"/>
            <w:vMerge w:val="continue"/>
            <w:vAlign w:val="center"/>
          </w:tcPr>
          <w:p>
            <w:pPr>
              <w:rPr>
                <w:rFonts w:ascii="宋体" w:hAnsi="宋体" w:cs="宋体"/>
                <w:highlight w:val="none"/>
              </w:rPr>
            </w:pPr>
          </w:p>
        </w:tc>
        <w:tc>
          <w:tcPr>
            <w:tcW w:w="2594" w:type="dxa"/>
            <w:vAlign w:val="center"/>
          </w:tcPr>
          <w:p>
            <w:pPr>
              <w:jc w:val="center"/>
              <w:rPr>
                <w:rFonts w:ascii="宋体" w:hAnsi="宋体" w:cs="宋体"/>
                <w:highlight w:val="none"/>
              </w:rPr>
            </w:pPr>
            <w:r>
              <w:rPr>
                <w:rFonts w:hint="eastAsia" w:ascii="宋体" w:hAnsi="宋体" w:cs="宋体"/>
                <w:highlight w:val="none"/>
              </w:rPr>
              <w:t>收款单位地址</w:t>
            </w:r>
          </w:p>
        </w:tc>
        <w:tc>
          <w:tcPr>
            <w:tcW w:w="6300" w:type="dxa"/>
            <w:gridSpan w:val="3"/>
            <w:vAlign w:val="center"/>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540" w:type="dxa"/>
            <w:vMerge w:val="continue"/>
            <w:vAlign w:val="center"/>
          </w:tcPr>
          <w:p>
            <w:pPr>
              <w:rPr>
                <w:rFonts w:ascii="宋体" w:hAnsi="宋体" w:cs="宋体"/>
                <w:highlight w:val="none"/>
              </w:rPr>
            </w:pPr>
          </w:p>
        </w:tc>
        <w:tc>
          <w:tcPr>
            <w:tcW w:w="2594" w:type="dxa"/>
            <w:vAlign w:val="center"/>
          </w:tcPr>
          <w:p>
            <w:pPr>
              <w:jc w:val="center"/>
              <w:rPr>
                <w:rFonts w:ascii="宋体" w:hAnsi="宋体" w:cs="宋体"/>
                <w:highlight w:val="none"/>
              </w:rPr>
            </w:pPr>
            <w:r>
              <w:rPr>
                <w:rFonts w:hint="eastAsia" w:ascii="宋体" w:hAnsi="宋体" w:cs="宋体"/>
                <w:highlight w:val="none"/>
              </w:rPr>
              <w:t>邮编</w:t>
            </w:r>
          </w:p>
        </w:tc>
        <w:tc>
          <w:tcPr>
            <w:tcW w:w="6300" w:type="dxa"/>
            <w:gridSpan w:val="3"/>
            <w:vAlign w:val="center"/>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540" w:type="dxa"/>
            <w:vMerge w:val="continue"/>
            <w:vAlign w:val="center"/>
          </w:tcPr>
          <w:p>
            <w:pPr>
              <w:rPr>
                <w:rFonts w:ascii="宋体" w:hAnsi="宋体" w:cs="宋体"/>
                <w:highlight w:val="none"/>
              </w:rPr>
            </w:pPr>
          </w:p>
        </w:tc>
        <w:tc>
          <w:tcPr>
            <w:tcW w:w="2594" w:type="dxa"/>
            <w:vAlign w:val="center"/>
          </w:tcPr>
          <w:p>
            <w:pPr>
              <w:jc w:val="center"/>
              <w:rPr>
                <w:rFonts w:ascii="宋体" w:hAnsi="宋体" w:cs="宋体"/>
                <w:highlight w:val="none"/>
              </w:rPr>
            </w:pPr>
            <w:r>
              <w:rPr>
                <w:rFonts w:hint="eastAsia" w:ascii="宋体" w:hAnsi="宋体" w:cs="宋体"/>
                <w:highlight w:val="none"/>
              </w:rPr>
              <w:t>联系人</w:t>
            </w:r>
          </w:p>
        </w:tc>
        <w:tc>
          <w:tcPr>
            <w:tcW w:w="2160" w:type="dxa"/>
            <w:vAlign w:val="center"/>
          </w:tcPr>
          <w:p>
            <w:pPr>
              <w:rPr>
                <w:rFonts w:ascii="宋体" w:hAnsi="宋体" w:cs="宋体"/>
                <w:highlight w:val="none"/>
              </w:rPr>
            </w:pPr>
          </w:p>
        </w:tc>
        <w:tc>
          <w:tcPr>
            <w:tcW w:w="1440" w:type="dxa"/>
            <w:vAlign w:val="center"/>
          </w:tcPr>
          <w:p>
            <w:pPr>
              <w:jc w:val="center"/>
              <w:rPr>
                <w:rFonts w:ascii="宋体" w:hAnsi="宋体" w:cs="宋体"/>
                <w:highlight w:val="none"/>
              </w:rPr>
            </w:pPr>
            <w:r>
              <w:rPr>
                <w:rFonts w:hint="eastAsia" w:ascii="宋体" w:hAnsi="宋体" w:cs="宋体"/>
                <w:highlight w:val="none"/>
              </w:rPr>
              <w:t>联系电话</w:t>
            </w:r>
          </w:p>
        </w:tc>
        <w:tc>
          <w:tcPr>
            <w:tcW w:w="2700" w:type="dxa"/>
            <w:vAlign w:val="center"/>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540" w:type="dxa"/>
            <w:vMerge w:val="continue"/>
            <w:vAlign w:val="center"/>
          </w:tcPr>
          <w:p>
            <w:pPr>
              <w:rPr>
                <w:rFonts w:ascii="宋体" w:hAnsi="宋体" w:cs="宋体"/>
                <w:highlight w:val="none"/>
              </w:rPr>
            </w:pPr>
          </w:p>
        </w:tc>
        <w:tc>
          <w:tcPr>
            <w:tcW w:w="2594" w:type="dxa"/>
            <w:vAlign w:val="center"/>
          </w:tcPr>
          <w:p>
            <w:pPr>
              <w:jc w:val="center"/>
              <w:rPr>
                <w:rFonts w:ascii="宋体" w:hAnsi="宋体" w:cs="宋体"/>
                <w:highlight w:val="none"/>
              </w:rPr>
            </w:pPr>
            <w:r>
              <w:rPr>
                <w:rFonts w:hint="eastAsia" w:ascii="宋体" w:hAnsi="宋体" w:cs="宋体"/>
                <w:highlight w:val="none"/>
              </w:rPr>
              <w:t>开户银行</w:t>
            </w:r>
          </w:p>
        </w:tc>
        <w:tc>
          <w:tcPr>
            <w:tcW w:w="6300" w:type="dxa"/>
            <w:gridSpan w:val="3"/>
            <w:vAlign w:val="center"/>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540" w:type="dxa"/>
            <w:vMerge w:val="continue"/>
            <w:vAlign w:val="center"/>
          </w:tcPr>
          <w:p>
            <w:pPr>
              <w:rPr>
                <w:rFonts w:ascii="宋体" w:hAnsi="宋体" w:cs="宋体"/>
                <w:highlight w:val="none"/>
              </w:rPr>
            </w:pPr>
          </w:p>
        </w:tc>
        <w:tc>
          <w:tcPr>
            <w:tcW w:w="2594" w:type="dxa"/>
            <w:vAlign w:val="center"/>
          </w:tcPr>
          <w:p>
            <w:pPr>
              <w:jc w:val="center"/>
              <w:rPr>
                <w:rFonts w:ascii="宋体" w:hAnsi="宋体" w:cs="宋体"/>
                <w:highlight w:val="none"/>
              </w:rPr>
            </w:pPr>
            <w:r>
              <w:rPr>
                <w:rFonts w:hint="eastAsia" w:ascii="宋体" w:hAnsi="宋体" w:cs="宋体"/>
                <w:highlight w:val="none"/>
              </w:rPr>
              <w:t>账号</w:t>
            </w:r>
          </w:p>
        </w:tc>
        <w:tc>
          <w:tcPr>
            <w:tcW w:w="6300" w:type="dxa"/>
            <w:gridSpan w:val="3"/>
            <w:vAlign w:val="center"/>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540" w:type="dxa"/>
            <w:vMerge w:val="continue"/>
            <w:vAlign w:val="center"/>
          </w:tcPr>
          <w:p>
            <w:pPr>
              <w:rPr>
                <w:rFonts w:ascii="宋体" w:hAnsi="宋体" w:cs="宋体"/>
                <w:highlight w:val="none"/>
              </w:rPr>
            </w:pPr>
          </w:p>
        </w:tc>
        <w:tc>
          <w:tcPr>
            <w:tcW w:w="2594" w:type="dxa"/>
            <w:vAlign w:val="center"/>
          </w:tcPr>
          <w:p>
            <w:pPr>
              <w:jc w:val="center"/>
              <w:rPr>
                <w:rFonts w:ascii="宋体" w:hAnsi="宋体" w:cs="宋体"/>
                <w:highlight w:val="none"/>
              </w:rPr>
            </w:pPr>
            <w:r>
              <w:rPr>
                <w:rFonts w:hint="eastAsia" w:ascii="宋体" w:hAnsi="宋体" w:cs="宋体"/>
                <w:highlight w:val="none"/>
              </w:rPr>
              <w:t>是否广东金融结算系统缴纳保证金</w:t>
            </w:r>
          </w:p>
        </w:tc>
        <w:tc>
          <w:tcPr>
            <w:tcW w:w="6300" w:type="dxa"/>
            <w:gridSpan w:val="3"/>
            <w:vAlign w:val="center"/>
          </w:tcPr>
          <w:p>
            <w:pPr>
              <w:rPr>
                <w:rFonts w:ascii="宋体" w:hAnsi="宋体" w:cs="宋体"/>
                <w:highlight w:val="none"/>
              </w:rPr>
            </w:pPr>
          </w:p>
          <w:p>
            <w:pPr>
              <w:spacing w:line="480" w:lineRule="auto"/>
              <w:rPr>
                <w:rFonts w:ascii="宋体" w:hAnsi="宋体" w:cs="宋体"/>
                <w:highlight w:val="none"/>
              </w:rPr>
            </w:pPr>
            <w:r>
              <w:rPr>
                <w:rFonts w:hint="eastAsia" w:ascii="宋体" w:hAnsi="宋体" w:cs="宋体"/>
                <w:highlight w:val="none"/>
              </w:rPr>
              <w:t>是</w:t>
            </w:r>
            <w:r>
              <w:rPr>
                <w:rFonts w:hint="eastAsia" w:ascii="宋体" w:hAnsi="宋体" w:cs="宋体"/>
                <w:highlight w:val="none"/>
              </w:rPr>
              <w:sym w:font="Wingdings 2" w:char="00A3"/>
            </w:r>
            <w:r>
              <w:rPr>
                <w:rFonts w:hint="eastAsia" w:ascii="宋体" w:hAnsi="宋体" w:cs="宋体"/>
                <w:highlight w:val="none"/>
              </w:rPr>
              <w:t xml:space="preserve">  否</w:t>
            </w:r>
            <w:r>
              <w:rPr>
                <w:rFonts w:hint="eastAsia" w:ascii="宋体" w:hAnsi="宋体" w:cs="宋体"/>
                <w:highlight w:val="none"/>
              </w:rPr>
              <w:sym w:font="Wingdings 2" w:char="00A3"/>
            </w:r>
            <w:r>
              <w:rPr>
                <w:rFonts w:hint="eastAsia" w:ascii="宋体" w:hAnsi="宋体" w:cs="宋体"/>
                <w:highlight w:val="none"/>
              </w:rPr>
              <w:t xml:space="preserve">   </w:t>
            </w:r>
            <w:r>
              <w:rPr>
                <w:rFonts w:hint="eastAsia" w:ascii="宋体" w:hAnsi="宋体" w:cs="宋体"/>
                <w:b/>
                <w:highlight w:val="none"/>
                <w:u w:val="single"/>
              </w:rPr>
              <w:t>（请询问开户银行后，在其中一项中打“√”）</w:t>
            </w:r>
          </w:p>
        </w:tc>
      </w:tr>
    </w:tbl>
    <w:p>
      <w:pPr>
        <w:pStyle w:val="4"/>
        <w:spacing w:line="360" w:lineRule="auto"/>
        <w:ind w:firstLine="0"/>
        <w:rPr>
          <w:rFonts w:ascii="宋体" w:hAnsi="宋体" w:cs="宋体"/>
          <w:bCs/>
          <w:highlight w:val="none"/>
        </w:rPr>
      </w:pPr>
      <w:r>
        <w:rPr>
          <w:rFonts w:hint="eastAsia" w:ascii="宋体" w:hAnsi="宋体" w:cs="宋体"/>
          <w:b/>
          <w:bCs/>
          <w:highlight w:val="none"/>
        </w:rPr>
        <w:t>注：</w:t>
      </w:r>
      <w:r>
        <w:rPr>
          <w:rFonts w:hint="eastAsia" w:ascii="宋体" w:hAnsi="宋体" w:cs="宋体"/>
          <w:bCs/>
          <w:highlight w:val="none"/>
        </w:rPr>
        <w:t>开户银行须具体至</w:t>
      </w:r>
      <w:r>
        <w:rPr>
          <w:rFonts w:hint="eastAsia" w:ascii="宋体" w:hAnsi="宋体" w:cs="宋体"/>
          <w:b/>
          <w:bCs/>
          <w:highlight w:val="none"/>
        </w:rPr>
        <w:t>支行</w:t>
      </w:r>
      <w:r>
        <w:rPr>
          <w:rFonts w:hint="eastAsia" w:ascii="宋体" w:hAnsi="宋体" w:cs="宋体"/>
          <w:bCs/>
          <w:highlight w:val="none"/>
        </w:rPr>
        <w:t>，</w:t>
      </w:r>
      <w:r>
        <w:rPr>
          <w:rFonts w:hint="eastAsia" w:ascii="宋体" w:hAnsi="宋体" w:cs="宋体"/>
          <w:highlight w:val="none"/>
        </w:rPr>
        <w:t>否则将</w:t>
      </w:r>
      <w:r>
        <w:rPr>
          <w:rFonts w:hint="eastAsia" w:ascii="宋体" w:hAnsi="宋体" w:cs="宋体"/>
          <w:b/>
          <w:highlight w:val="none"/>
          <w:u w:val="single"/>
        </w:rPr>
        <w:t>影响退保证金进度</w:t>
      </w:r>
      <w:r>
        <w:rPr>
          <w:rFonts w:hint="eastAsia" w:ascii="宋体" w:hAnsi="宋体" w:cs="宋体"/>
          <w:highlight w:val="none"/>
        </w:rPr>
        <w:t>。</w:t>
      </w:r>
    </w:p>
    <w:p>
      <w:pPr>
        <w:pStyle w:val="4"/>
        <w:spacing w:line="360" w:lineRule="auto"/>
        <w:ind w:firstLine="0"/>
        <w:rPr>
          <w:rFonts w:ascii="宋体" w:hAnsi="宋体" w:cs="宋体"/>
          <w:bCs/>
          <w:highlight w:val="none"/>
        </w:rPr>
      </w:pPr>
    </w:p>
    <w:p>
      <w:pPr>
        <w:pStyle w:val="4"/>
        <w:spacing w:line="360" w:lineRule="auto"/>
        <w:ind w:firstLine="0"/>
        <w:rPr>
          <w:rFonts w:ascii="宋体" w:hAnsi="宋体" w:cs="宋体"/>
          <w:b/>
          <w:highlight w:val="none"/>
          <w:u w:val="single"/>
        </w:rPr>
      </w:pPr>
      <w:r>
        <w:rPr>
          <w:rFonts w:hint="eastAsia" w:ascii="宋体" w:hAnsi="宋体" w:cs="宋体"/>
          <w:bCs/>
          <w:highlight w:val="none"/>
        </w:rPr>
        <w:t>供应商名称</w:t>
      </w:r>
      <w:r>
        <w:rPr>
          <w:rFonts w:hint="eastAsia" w:ascii="宋体" w:hAnsi="宋体" w:cs="宋体"/>
          <w:highlight w:val="none"/>
        </w:rPr>
        <w:t>（单位公章）</w:t>
      </w:r>
      <w:r>
        <w:rPr>
          <w:rFonts w:hint="eastAsia" w:ascii="宋体" w:hAnsi="宋体" w:cs="宋体"/>
          <w:bCs/>
          <w:highlight w:val="none"/>
        </w:rPr>
        <w:t>：</w:t>
      </w:r>
    </w:p>
    <w:p>
      <w:pPr>
        <w:widowControl w:val="0"/>
        <w:spacing w:line="360" w:lineRule="auto"/>
        <w:jc w:val="both"/>
        <w:rPr>
          <w:rFonts w:ascii="宋体" w:hAnsi="宋体" w:cs="宋体"/>
          <w:bCs/>
          <w:highlight w:val="none"/>
        </w:rPr>
      </w:pPr>
      <w:r>
        <w:rPr>
          <w:rFonts w:hint="eastAsia" w:ascii="宋体" w:hAnsi="宋体" w:cs="宋体"/>
          <w:bCs/>
          <w:highlight w:val="none"/>
        </w:rPr>
        <w:t>日期：   年   月   日</w:t>
      </w:r>
    </w:p>
    <w:p>
      <w:pPr>
        <w:widowControl w:val="0"/>
        <w:spacing w:line="360" w:lineRule="auto"/>
        <w:jc w:val="both"/>
        <w:rPr>
          <w:rFonts w:ascii="宋体" w:hAnsi="宋体" w:cs="宋体"/>
          <w:bCs/>
          <w:highlight w:val="none"/>
        </w:rPr>
      </w:pPr>
      <w:r>
        <w:rPr>
          <w:rFonts w:ascii="宋体" w:hAnsi="宋体" w:cs="宋体"/>
          <w:highlight w:val="none"/>
        </w:rP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121285</wp:posOffset>
                </wp:positionV>
                <wp:extent cx="5927090" cy="2648585"/>
                <wp:effectExtent l="4445" t="4445" r="12065" b="13970"/>
                <wp:wrapNone/>
                <wp:docPr id="1" name="自选图形 27"/>
                <wp:cNvGraphicFramePr/>
                <a:graphic xmlns:a="http://schemas.openxmlformats.org/drawingml/2006/main">
                  <a:graphicData uri="http://schemas.microsoft.com/office/word/2010/wordprocessingShape">
                    <wps:wsp>
                      <wps:cNvSpPr>
                        <a:spLocks noChangeArrowheads="1"/>
                      </wps:cNvSpPr>
                      <wps:spPr bwMode="auto">
                        <a:xfrm>
                          <a:off x="0" y="0"/>
                          <a:ext cx="5467985" cy="1673225"/>
                        </a:xfrm>
                        <a:prstGeom prst="flowChartAlternateProcess">
                          <a:avLst/>
                        </a:prstGeom>
                        <a:solidFill>
                          <a:srgbClr val="FFFFFF"/>
                        </a:solidFill>
                        <a:ln w="9525">
                          <a:solidFill>
                            <a:srgbClr val="000000"/>
                          </a:solidFill>
                          <a:prstDash val="dash"/>
                          <a:miter lim="800000"/>
                        </a:ln>
                        <a:effectLst/>
                      </wps:spPr>
                      <wps:txbx>
                        <w:txbxContent>
                          <w:p>
                            <w:pPr>
                              <w:rPr>
                                <w:rFonts w:ascii="宋体" w:hAnsi="宋体"/>
                                <w:b/>
                              </w:rPr>
                            </w:pPr>
                            <w:r>
                              <w:rPr>
                                <w:rFonts w:hint="eastAsia" w:ascii="宋体" w:hAnsi="宋体"/>
                                <w:b/>
                              </w:rPr>
                              <w:t>磋商保证金付款凭证粘贴处</w:t>
                            </w:r>
                          </w:p>
                        </w:txbxContent>
                      </wps:txbx>
                      <wps:bodyPr rot="0" vert="horz" wrap="square" lIns="91440" tIns="45720" rIns="91440" bIns="45720" anchor="t" anchorCtr="0" upright="1">
                        <a:noAutofit/>
                      </wps:bodyPr>
                    </wps:wsp>
                  </a:graphicData>
                </a:graphic>
              </wp:anchor>
            </w:drawing>
          </mc:Choice>
          <mc:Fallback>
            <w:pict>
              <v:shape id="自选图形 27" o:spid="_x0000_s1026" o:spt="176" type="#_x0000_t176" style="position:absolute;left:0pt;margin-left:-0.9pt;margin-top:9.55pt;height:208.55pt;width:466.7pt;z-index:251660288;mso-width-relative:page;mso-height-relative:page;" fillcolor="#FFFFFF" filled="t" stroked="t" coordsize="21600,21600" o:gfxdata="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PR583aAAAACQEAAA8AAAAAAAAAAQAg&#10;AAAAIgAAAGRycy9kb3ducmV2LnhtbFBLAQIUABQAAAAIAIdO4kD8JDanRQIAAG8EAAAOAAAAAAAA&#10;AAEAIAAAACkBAABkcnMvZTJvRG9jLnhtbFBLBQYAAAAABgAGAFkBAADgBQAAAAA=&#10;">
                <v:fill on="t" focussize="0,0"/>
                <v:stroke color="#000000" miterlimit="8" joinstyle="miter" dashstyle="dash"/>
                <v:imagedata o:title=""/>
                <o:lock v:ext="edit" aspectratio="f"/>
                <v:textbox>
                  <w:txbxContent>
                    <w:p>
                      <w:pPr>
                        <w:rPr>
                          <w:rFonts w:ascii="宋体" w:hAnsi="宋体"/>
                          <w:b/>
                        </w:rPr>
                      </w:pPr>
                      <w:r>
                        <w:rPr>
                          <w:rFonts w:hint="eastAsia" w:ascii="宋体" w:hAnsi="宋体"/>
                          <w:b/>
                        </w:rPr>
                        <w:t>磋商保证金付款凭证粘贴处</w:t>
                      </w:r>
                    </w:p>
                  </w:txbxContent>
                </v:textbox>
              </v:shape>
            </w:pict>
          </mc:Fallback>
        </mc:AlternateContent>
      </w:r>
    </w:p>
    <w:p>
      <w:pPr>
        <w:widowControl w:val="0"/>
        <w:spacing w:line="360" w:lineRule="auto"/>
        <w:jc w:val="both"/>
        <w:rPr>
          <w:rFonts w:ascii="宋体" w:hAnsi="宋体" w:cs="宋体"/>
          <w:bCs/>
          <w:highlight w:val="none"/>
        </w:rPr>
      </w:pPr>
    </w:p>
    <w:p>
      <w:pPr>
        <w:pStyle w:val="4"/>
        <w:spacing w:line="480" w:lineRule="auto"/>
        <w:ind w:firstLine="0"/>
        <w:rPr>
          <w:rFonts w:ascii="宋体" w:hAnsi="宋体" w:cs="宋体"/>
          <w:bCs/>
          <w:highlight w:val="none"/>
        </w:rPr>
      </w:pPr>
    </w:p>
    <w:p>
      <w:pPr>
        <w:pStyle w:val="3"/>
        <w:keepLines w:val="0"/>
        <w:widowControl w:val="0"/>
        <w:tabs>
          <w:tab w:val="left" w:pos="851"/>
        </w:tabs>
        <w:adjustRightInd/>
        <w:snapToGrid/>
        <w:jc w:val="both"/>
        <w:rPr>
          <w:rFonts w:hAnsi="宋体" w:cs="宋体"/>
          <w:highlight w:val="none"/>
        </w:rPr>
      </w:pPr>
    </w:p>
    <w:p>
      <w:pPr>
        <w:rPr>
          <w:rFonts w:ascii="宋体" w:hAnsi="宋体" w:cs="宋体"/>
          <w:highlight w:val="none"/>
        </w:rPr>
      </w:pPr>
      <w:r>
        <w:rPr>
          <w:rFonts w:ascii="宋体" w:hAnsi="宋体" w:cs="宋体"/>
          <w:highlight w:val="none"/>
        </w:rPr>
        <w:br w:type="page"/>
      </w:r>
    </w:p>
    <w:p>
      <w:pPr>
        <w:pStyle w:val="3"/>
        <w:keepLines w:val="0"/>
        <w:widowControl w:val="0"/>
        <w:tabs>
          <w:tab w:val="left" w:pos="851"/>
        </w:tabs>
        <w:adjustRightInd/>
        <w:snapToGrid/>
        <w:jc w:val="both"/>
        <w:rPr>
          <w:rFonts w:hAnsi="宋体" w:cs="宋体"/>
          <w:b/>
          <w:sz w:val="21"/>
          <w:szCs w:val="21"/>
          <w:highlight w:val="none"/>
        </w:rPr>
      </w:pPr>
      <w:bookmarkStart w:id="2450" w:name="_Toc29819"/>
      <w:bookmarkStart w:id="2451" w:name="_Toc22240"/>
      <w:r>
        <w:rPr>
          <w:rFonts w:hint="eastAsia" w:hAnsi="宋体" w:cs="宋体"/>
          <w:b/>
          <w:sz w:val="21"/>
          <w:szCs w:val="21"/>
          <w:highlight w:val="none"/>
        </w:rPr>
        <w:t>14.承诺函</w:t>
      </w:r>
      <w:bookmarkEnd w:id="2450"/>
      <w:bookmarkEnd w:id="2451"/>
    </w:p>
    <w:p>
      <w:pPr>
        <w:pStyle w:val="4"/>
        <w:spacing w:line="480" w:lineRule="auto"/>
        <w:ind w:firstLine="0"/>
        <w:jc w:val="center"/>
        <w:rPr>
          <w:rFonts w:ascii="宋体" w:hAnsi="宋体" w:cs="宋体"/>
          <w:highlight w:val="none"/>
        </w:rPr>
      </w:pPr>
      <w:r>
        <w:rPr>
          <w:rFonts w:hint="eastAsia" w:ascii="宋体" w:hAnsi="宋体" w:cs="宋体"/>
          <w:highlight w:val="none"/>
        </w:rPr>
        <w:t>保密承诺函</w:t>
      </w:r>
    </w:p>
    <w:p>
      <w:pPr>
        <w:pStyle w:val="4"/>
        <w:spacing w:line="480" w:lineRule="auto"/>
        <w:ind w:firstLine="0"/>
        <w:rPr>
          <w:rFonts w:ascii="宋体" w:hAnsi="宋体" w:cs="宋体"/>
          <w:highlight w:val="none"/>
        </w:rPr>
      </w:pPr>
      <w:r>
        <w:rPr>
          <w:rFonts w:hint="eastAsia" w:ascii="宋体" w:hAnsi="宋体" w:cs="宋体"/>
          <w:highlight w:val="none"/>
        </w:rPr>
        <w:t>致华南师范大学：</w:t>
      </w:r>
    </w:p>
    <w:p>
      <w:pPr>
        <w:pStyle w:val="6"/>
        <w:tabs>
          <w:tab w:val="left" w:pos="851"/>
        </w:tabs>
        <w:spacing w:line="480" w:lineRule="auto"/>
        <w:ind w:firstLine="420" w:firstLineChars="200"/>
        <w:rPr>
          <w:rFonts w:hAnsi="宋体" w:cs="宋体"/>
          <w:color w:val="auto"/>
          <w:highlight w:val="none"/>
        </w:rPr>
      </w:pPr>
      <w:r>
        <w:rPr>
          <w:rFonts w:hint="eastAsia" w:hAnsi="宋体" w:cs="宋体"/>
          <w:color w:val="auto"/>
          <w:highlight w:val="none"/>
        </w:rPr>
        <w:t>我单位参与贵校的</w:t>
      </w:r>
      <w:r>
        <w:rPr>
          <w:rFonts w:hint="eastAsia" w:hAnsi="宋体" w:cs="宋体"/>
          <w:highlight w:val="none"/>
          <w:u w:val="single"/>
        </w:rPr>
        <w:t xml:space="preserve">                        项目</w:t>
      </w:r>
      <w:r>
        <w:rPr>
          <w:rFonts w:hint="eastAsia" w:hAnsi="宋体" w:cs="宋体"/>
          <w:highlight w:val="none"/>
        </w:rPr>
        <w:t>[项目编号：</w:t>
      </w:r>
      <w:r>
        <w:rPr>
          <w:rFonts w:hint="eastAsia" w:hAnsi="宋体" w:cs="宋体"/>
          <w:highlight w:val="none"/>
          <w:u w:val="single"/>
        </w:rPr>
        <w:t xml:space="preserve">               </w:t>
      </w:r>
      <w:r>
        <w:rPr>
          <w:rFonts w:hint="eastAsia" w:hAnsi="宋体" w:cs="宋体"/>
          <w:highlight w:val="none"/>
        </w:rPr>
        <w:t>]的</w:t>
      </w:r>
      <w:r>
        <w:rPr>
          <w:rFonts w:hint="eastAsia" w:ascii="宋体" w:hAnsi="宋体" w:cs="宋体"/>
          <w:highlight w:val="none"/>
          <w:lang w:val="en-US" w:eastAsia="zh-CN"/>
        </w:rPr>
        <w:t>投标</w:t>
      </w:r>
      <w:r>
        <w:rPr>
          <w:rFonts w:hint="eastAsia" w:hAnsi="宋体" w:cs="宋体"/>
          <w:color w:val="auto"/>
          <w:highlight w:val="none"/>
        </w:rPr>
        <w:t>，在此郑重承诺：</w:t>
      </w:r>
    </w:p>
    <w:p>
      <w:pPr>
        <w:pStyle w:val="6"/>
        <w:tabs>
          <w:tab w:val="left" w:pos="851"/>
        </w:tabs>
        <w:spacing w:line="480" w:lineRule="auto"/>
        <w:ind w:firstLine="420" w:firstLineChars="200"/>
        <w:rPr>
          <w:rFonts w:hAnsi="宋体" w:cs="宋体"/>
          <w:szCs w:val="21"/>
          <w:highlight w:val="none"/>
        </w:rPr>
      </w:pPr>
      <w:r>
        <w:rPr>
          <w:rFonts w:hint="eastAsia" w:hAnsi="宋体" w:cs="宋体"/>
          <w:color w:val="auto"/>
          <w:highlight w:val="none"/>
        </w:rPr>
        <w:t>（1）我单位承诺</w:t>
      </w:r>
      <w:r>
        <w:rPr>
          <w:rFonts w:hint="eastAsia" w:hAnsi="宋体" w:cs="宋体"/>
          <w:szCs w:val="21"/>
          <w:highlight w:val="none"/>
        </w:rPr>
        <w:t>能够按照学校要求导出采购数据。</w:t>
      </w:r>
    </w:p>
    <w:p>
      <w:pPr>
        <w:pStyle w:val="4"/>
        <w:spacing w:line="480" w:lineRule="auto"/>
        <w:rPr>
          <w:highlight w:val="none"/>
        </w:rPr>
      </w:pPr>
      <w:r>
        <w:rPr>
          <w:rFonts w:hint="eastAsia"/>
          <w:highlight w:val="none"/>
        </w:rPr>
        <w:t>（2）我单位承诺对贵校的采购数据严格保密，不以任何方式向任何第三方泄露贵校的采购数据。</w:t>
      </w:r>
    </w:p>
    <w:p>
      <w:pPr>
        <w:pStyle w:val="4"/>
        <w:spacing w:line="480" w:lineRule="auto"/>
        <w:rPr>
          <w:highlight w:val="none"/>
        </w:rPr>
      </w:pPr>
      <w:r>
        <w:rPr>
          <w:rFonts w:hint="eastAsia"/>
          <w:highlight w:val="none"/>
        </w:rPr>
        <w:t>（3）在接到贵校服务请求或者监控警告时会迅速对事件进行定性并通知相关部门启动应急流程，确保贵校利益不受损。</w:t>
      </w:r>
    </w:p>
    <w:p>
      <w:pPr>
        <w:pStyle w:val="6"/>
        <w:tabs>
          <w:tab w:val="left" w:pos="851"/>
        </w:tabs>
        <w:spacing w:line="480" w:lineRule="auto"/>
        <w:ind w:firstLine="420" w:firstLineChars="200"/>
        <w:rPr>
          <w:rFonts w:hAnsi="宋体" w:cs="宋体"/>
          <w:szCs w:val="21"/>
          <w:highlight w:val="none"/>
        </w:rPr>
      </w:pPr>
      <w:r>
        <w:rPr>
          <w:rFonts w:hint="eastAsia" w:hAnsi="宋体" w:cs="宋体"/>
          <w:szCs w:val="21"/>
          <w:highlight w:val="none"/>
        </w:rPr>
        <w:t>我单位对此承诺负全部法律责任。</w:t>
      </w:r>
    </w:p>
    <w:p>
      <w:pPr>
        <w:pStyle w:val="6"/>
        <w:tabs>
          <w:tab w:val="left" w:pos="851"/>
        </w:tabs>
        <w:spacing w:line="480" w:lineRule="auto"/>
        <w:ind w:firstLine="420" w:firstLineChars="200"/>
        <w:rPr>
          <w:rFonts w:hAnsi="宋体" w:cs="宋体"/>
          <w:szCs w:val="21"/>
          <w:highlight w:val="none"/>
        </w:rPr>
      </w:pPr>
      <w:r>
        <w:rPr>
          <w:rFonts w:hint="eastAsia" w:hAnsi="宋体" w:cs="宋体"/>
          <w:szCs w:val="21"/>
          <w:highlight w:val="none"/>
        </w:rPr>
        <w:t>特此声明。</w:t>
      </w:r>
    </w:p>
    <w:p>
      <w:pPr>
        <w:pStyle w:val="6"/>
        <w:tabs>
          <w:tab w:val="left" w:pos="851"/>
        </w:tabs>
        <w:spacing w:line="480" w:lineRule="auto"/>
        <w:ind w:firstLine="420" w:firstLineChars="200"/>
        <w:rPr>
          <w:rFonts w:hAnsi="宋体" w:cs="宋体"/>
          <w:szCs w:val="21"/>
          <w:highlight w:val="none"/>
        </w:rPr>
      </w:pPr>
    </w:p>
    <w:p>
      <w:pPr>
        <w:pStyle w:val="6"/>
        <w:tabs>
          <w:tab w:val="left" w:pos="851"/>
        </w:tabs>
        <w:spacing w:line="480" w:lineRule="auto"/>
        <w:rPr>
          <w:rFonts w:hAnsi="宋体" w:cs="宋体"/>
          <w:color w:val="auto"/>
          <w:highlight w:val="none"/>
        </w:rPr>
      </w:pPr>
      <w:r>
        <w:rPr>
          <w:rFonts w:hint="eastAsia" w:hAnsi="宋体" w:cs="宋体"/>
          <w:color w:val="auto"/>
          <w:highlight w:val="none"/>
        </w:rPr>
        <w:t>供应商（单位公章）：</w:t>
      </w:r>
    </w:p>
    <w:p>
      <w:pPr>
        <w:pStyle w:val="6"/>
        <w:tabs>
          <w:tab w:val="left" w:pos="851"/>
        </w:tabs>
        <w:spacing w:line="480" w:lineRule="auto"/>
        <w:rPr>
          <w:highlight w:val="none"/>
        </w:rPr>
      </w:pPr>
      <w:r>
        <w:rPr>
          <w:rFonts w:hint="eastAsia" w:hAnsi="宋体"/>
          <w:highlight w:val="none"/>
        </w:rPr>
        <w:t>法定代表人或其授权代表（签字）：</w:t>
      </w:r>
    </w:p>
    <w:p>
      <w:pPr>
        <w:pStyle w:val="6"/>
        <w:tabs>
          <w:tab w:val="left" w:pos="851"/>
        </w:tabs>
        <w:spacing w:line="480" w:lineRule="auto"/>
        <w:rPr>
          <w:rFonts w:hAnsi="宋体" w:cs="宋体"/>
          <w:color w:val="auto"/>
          <w:highlight w:val="none"/>
        </w:rPr>
      </w:pPr>
      <w:r>
        <w:rPr>
          <w:rFonts w:hint="eastAsia" w:hAnsi="宋体" w:cs="宋体"/>
          <w:color w:val="auto"/>
          <w:highlight w:val="none"/>
        </w:rPr>
        <w:t>日期：    年   月   日</w:t>
      </w:r>
    </w:p>
    <w:p>
      <w:pPr>
        <w:pStyle w:val="4"/>
        <w:spacing w:line="360" w:lineRule="auto"/>
        <w:ind w:firstLine="0"/>
        <w:rPr>
          <w:rFonts w:hAnsi="宋体" w:cs="宋体"/>
          <w:highlight w:val="none"/>
        </w:rPr>
      </w:pPr>
    </w:p>
    <w:p>
      <w:pPr>
        <w:pStyle w:val="4"/>
        <w:spacing w:line="480" w:lineRule="auto"/>
        <w:ind w:firstLine="0"/>
        <w:rPr>
          <w:rFonts w:ascii="宋体" w:hAnsi="宋体" w:cs="宋体"/>
          <w:highlight w:val="none"/>
        </w:rPr>
      </w:pPr>
    </w:p>
    <w:p>
      <w:pPr>
        <w:pStyle w:val="4"/>
        <w:spacing w:line="480" w:lineRule="auto"/>
        <w:ind w:firstLine="0"/>
        <w:rPr>
          <w:rFonts w:ascii="宋体" w:hAnsi="宋体" w:cs="宋体"/>
          <w:highlight w:val="none"/>
        </w:rPr>
      </w:pPr>
    </w:p>
    <w:sectPr>
      <w:footerReference r:id="rId6" w:type="first"/>
      <w:footerReference r:id="rId5" w:type="default"/>
      <w:pgSz w:w="11906" w:h="16838"/>
      <w:pgMar w:top="1418" w:right="1247" w:bottom="1418" w:left="1247" w:header="851" w:footer="992"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_GB2312">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right"/>
    </w:pPr>
    <w:r>
      <w:rPr>
        <w:rFonts w:hint="eastAsia"/>
        <w:szCs w:val="21"/>
      </w:rPr>
      <w:t xml:space="preserve">                     广东省机电设备招标有限公司编制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right"/>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52</w:t>
                    </w:r>
                    <w:r>
                      <w:rPr>
                        <w:rFonts w:hint="eastAsia"/>
                        <w:lang w:eastAsia="zh-CN"/>
                      </w:rPr>
                      <w:fldChar w:fldCharType="end"/>
                    </w:r>
                    <w:r>
                      <w:rPr>
                        <w:rFonts w:hint="eastAsia"/>
                        <w:lang w:eastAsia="zh-CN"/>
                      </w:rPr>
                      <w:t xml:space="preserve"> 页</w:t>
                    </w:r>
                  </w:p>
                </w:txbxContent>
              </v:textbox>
            </v:shape>
          </w:pict>
        </mc:Fallback>
      </mc:AlternateContent>
    </w:r>
    <w:r>
      <w:rPr>
        <w:rFonts w:hint="eastAsia"/>
        <w:szCs w:val="21"/>
      </w:rPr>
      <w:t xml:space="preserve">                     广东省机电设备招标有限公司编制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52</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left"/>
      <w:rPr>
        <w:rFonts w:hint="eastAsia" w:ascii="宋体" w:hAnsi="宋体" w:eastAsia="宋体"/>
        <w:lang w:eastAsia="zh-CN"/>
      </w:rPr>
    </w:pPr>
    <w:r>
      <w:rPr>
        <w:rFonts w:hint="eastAsia" w:ascii="宋体" w:hAnsi="宋体"/>
      </w:rPr>
      <w:t>项目编号：</w:t>
    </w:r>
    <w:r>
      <w:rPr>
        <w:rFonts w:hint="eastAsia" w:ascii="宋体" w:hAnsi="宋体"/>
        <w:lang w:eastAsia="zh-CN"/>
      </w:rPr>
      <w:t>M440000070700682500</w:t>
    </w:r>
    <w:r>
      <w:rPr>
        <w:rFonts w:hint="eastAsia" w:ascii="宋体" w:hAnsi="宋体"/>
        <w:lang w:val="en-US" w:eastAsia="zh-CN"/>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5D5964"/>
    <w:multiLevelType w:val="multilevel"/>
    <w:tmpl w:val="C85D5964"/>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D40A57E6"/>
    <w:multiLevelType w:val="singleLevel"/>
    <w:tmpl w:val="D40A57E6"/>
    <w:lvl w:ilvl="0" w:tentative="0">
      <w:start w:val="1"/>
      <w:numFmt w:val="decimal"/>
      <w:suff w:val="nothing"/>
      <w:lvlText w:val="%1）"/>
      <w:lvlJc w:val="left"/>
    </w:lvl>
  </w:abstractNum>
  <w:abstractNum w:abstractNumId="2">
    <w:nsid w:val="08240B2E"/>
    <w:multiLevelType w:val="multilevel"/>
    <w:tmpl w:val="08240B2E"/>
    <w:lvl w:ilvl="0" w:tentative="0">
      <w:start w:val="1"/>
      <w:numFmt w:val="decimal"/>
      <w:lvlText w:val="%1."/>
      <w:lvlJc w:val="left"/>
      <w:pPr>
        <w:tabs>
          <w:tab w:val="left" w:pos="840"/>
        </w:tabs>
        <w:ind w:left="84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13A70F57"/>
    <w:multiLevelType w:val="multilevel"/>
    <w:tmpl w:val="13A70F57"/>
    <w:lvl w:ilvl="0" w:tentative="0">
      <w:start w:val="1"/>
      <w:numFmt w:val="chineseCountingThousand"/>
      <w:lvlText w:val="%1、"/>
      <w:lvlJc w:val="left"/>
      <w:pPr>
        <w:ind w:left="425" w:hanging="425"/>
      </w:pPr>
      <w:rPr>
        <w:rFonts w:hint="eastAsia"/>
        <w:b/>
        <w:sz w:val="21"/>
        <w:szCs w:val="24"/>
        <w:lang w:val="en-US"/>
      </w:rPr>
    </w:lvl>
    <w:lvl w:ilvl="1" w:tentative="0">
      <w:start w:val="1"/>
      <w:numFmt w:val="chineseCountingThousand"/>
      <w:lvlText w:val="（%2）"/>
      <w:lvlJc w:val="left"/>
      <w:pPr>
        <w:ind w:left="992" w:hanging="567"/>
      </w:pPr>
      <w:rPr>
        <w:rFonts w:hint="eastAsia" w:ascii="仿宋_GB2312" w:eastAsia="仿宋_GB2312"/>
        <w:sz w:val="24"/>
        <w:szCs w:val="24"/>
      </w:rPr>
    </w:lvl>
    <w:lvl w:ilvl="2" w:tentative="0">
      <w:start w:val="1"/>
      <w:numFmt w:val="decimal"/>
      <w:lvlText w:val="%3."/>
      <w:lvlJc w:val="left"/>
      <w:pPr>
        <w:ind w:left="1418" w:hanging="567"/>
      </w:pPr>
      <w:rPr>
        <w:rFonts w:hint="eastAsia" w:ascii="仿宋_GB2312" w:eastAsia="仿宋_GB2312"/>
        <w:color w:val="auto"/>
        <w:sz w:val="24"/>
        <w:szCs w:val="24"/>
      </w:rPr>
    </w:lvl>
    <w:lvl w:ilvl="3" w:tentative="0">
      <w:start w:val="1"/>
      <w:numFmt w:val="decimal"/>
      <w:lvlText w:val="(%4)"/>
      <w:lvlJc w:val="left"/>
      <w:pPr>
        <w:ind w:left="1418"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2F034439"/>
    <w:multiLevelType w:val="multilevel"/>
    <w:tmpl w:val="2F034439"/>
    <w:lvl w:ilvl="0" w:tentative="0">
      <w:start w:val="1"/>
      <w:numFmt w:val="chineseCountingThousand"/>
      <w:lvlText w:val="%1、"/>
      <w:lvlJc w:val="left"/>
      <w:pPr>
        <w:ind w:left="425" w:hanging="425"/>
      </w:pPr>
      <w:rPr>
        <w:rFonts w:hint="eastAsia"/>
        <w:sz w:val="21"/>
        <w:szCs w:val="24"/>
      </w:rPr>
    </w:lvl>
    <w:lvl w:ilvl="1" w:tentative="0">
      <w:start w:val="1"/>
      <w:numFmt w:val="chineseCountingThousand"/>
      <w:lvlText w:val="（%2）"/>
      <w:lvlJc w:val="left"/>
      <w:pPr>
        <w:ind w:left="992" w:hanging="567"/>
      </w:pPr>
      <w:rPr>
        <w:rFonts w:hint="eastAsia"/>
        <w:sz w:val="21"/>
        <w:szCs w:val="24"/>
      </w:rPr>
    </w:lvl>
    <w:lvl w:ilvl="2" w:tentative="0">
      <w:start w:val="1"/>
      <w:numFmt w:val="decimal"/>
      <w:lvlText w:val="%3."/>
      <w:lvlJc w:val="left"/>
      <w:pPr>
        <w:ind w:left="1418" w:hanging="567"/>
      </w:pPr>
      <w:rPr>
        <w:rFonts w:hint="eastAsia"/>
        <w:lang w:val="en-US"/>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32411EB3"/>
    <w:multiLevelType w:val="multilevel"/>
    <w:tmpl w:val="32411EB3"/>
    <w:lvl w:ilvl="0" w:tentative="0">
      <w:start w:val="1"/>
      <w:numFmt w:val="chineseCountingThousand"/>
      <w:lvlText w:val="%1、"/>
      <w:lvlJc w:val="left"/>
      <w:pPr>
        <w:ind w:left="425" w:hanging="425"/>
      </w:pPr>
      <w:rPr>
        <w:rFonts w:hint="eastAsia"/>
        <w:sz w:val="21"/>
        <w:szCs w:val="24"/>
        <w:lang w:val="en-US"/>
      </w:rPr>
    </w:lvl>
    <w:lvl w:ilvl="1" w:tentative="0">
      <w:start w:val="1"/>
      <w:numFmt w:val="chineseCountingThousand"/>
      <w:lvlText w:val="（%2）"/>
      <w:lvlJc w:val="left"/>
      <w:pPr>
        <w:ind w:left="4112" w:hanging="567"/>
      </w:pPr>
      <w:rPr>
        <w:rFonts w:hint="eastAsia" w:ascii="宋体" w:hAnsi="宋体" w:eastAsia="宋体"/>
        <w:b/>
        <w:bCs/>
        <w:color w:val="auto"/>
        <w:sz w:val="21"/>
        <w:szCs w:val="21"/>
      </w:rPr>
    </w:lvl>
    <w:lvl w:ilvl="2" w:tentative="0">
      <w:start w:val="1"/>
      <w:numFmt w:val="decimal"/>
      <w:lvlText w:val="%3."/>
      <w:lvlJc w:val="left"/>
      <w:pPr>
        <w:ind w:left="567" w:hanging="567"/>
      </w:pPr>
      <w:rPr>
        <w:rFonts w:hint="eastAsia"/>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44CEEB6F"/>
    <w:multiLevelType w:val="singleLevel"/>
    <w:tmpl w:val="44CEEB6F"/>
    <w:lvl w:ilvl="0" w:tentative="0">
      <w:start w:val="2"/>
      <w:numFmt w:val="chineseCounting"/>
      <w:suff w:val="space"/>
      <w:lvlText w:val="第%1章"/>
      <w:lvlJc w:val="left"/>
      <w:rPr>
        <w:rFonts w:hint="eastAsia"/>
      </w:rPr>
    </w:lvl>
  </w:abstractNum>
  <w:abstractNum w:abstractNumId="7">
    <w:nsid w:val="44F65E9B"/>
    <w:multiLevelType w:val="multilevel"/>
    <w:tmpl w:val="44F65E9B"/>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1418" w:hanging="567"/>
      </w:pPr>
      <w:rPr>
        <w:rFonts w:hint="eastAsia" w:ascii="宋体" w:hAnsi="宋体" w:eastAsia="宋体"/>
        <w:sz w:val="21"/>
        <w:szCs w:val="24"/>
      </w:rPr>
    </w:lvl>
    <w:lvl w:ilvl="2" w:tentative="0">
      <w:start w:val="1"/>
      <w:numFmt w:val="decimal"/>
      <w:lvlText w:val="%3."/>
      <w:lvlJc w:val="left"/>
      <w:pPr>
        <w:ind w:left="1418" w:hanging="567"/>
      </w:pPr>
      <w:rPr>
        <w:rFonts w:hint="eastAsia" w:ascii="仿宋_GB2312" w:eastAsia="仿宋_GB2312"/>
        <w:color w:val="auto"/>
        <w:sz w:val="24"/>
        <w:szCs w:val="24"/>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44FD527E"/>
    <w:multiLevelType w:val="multilevel"/>
    <w:tmpl w:val="44FD527E"/>
    <w:lvl w:ilvl="0" w:tentative="0">
      <w:start w:val="1"/>
      <w:numFmt w:val="chineseCountingThousand"/>
      <w:lvlText w:val="%1、"/>
      <w:lvlJc w:val="left"/>
      <w:pPr>
        <w:ind w:left="425" w:hanging="425"/>
      </w:pPr>
      <w:rPr>
        <w:rFonts w:hint="eastAsia"/>
        <w:sz w:val="24"/>
        <w:szCs w:val="24"/>
      </w:rPr>
    </w:lvl>
    <w:lvl w:ilvl="1" w:tentative="0">
      <w:start w:val="1"/>
      <w:numFmt w:val="chineseCountingThousand"/>
      <w:lvlText w:val="（%2）"/>
      <w:lvlJc w:val="left"/>
      <w:pPr>
        <w:ind w:left="992" w:hanging="567"/>
      </w:pPr>
      <w:rPr>
        <w:rFonts w:hint="eastAsia" w:ascii="宋体" w:hAnsi="宋体" w:eastAsia="宋体"/>
        <w:b/>
        <w:sz w:val="21"/>
        <w:szCs w:val="24"/>
      </w:rPr>
    </w:lvl>
    <w:lvl w:ilvl="2" w:tentative="0">
      <w:start w:val="1"/>
      <w:numFmt w:val="decimal"/>
      <w:lvlText w:val="%3."/>
      <w:lvlJc w:val="left"/>
      <w:pPr>
        <w:ind w:left="1418" w:hanging="567"/>
      </w:pPr>
      <w:rPr>
        <w:rFonts w:hint="eastAsia"/>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4C230CE6"/>
    <w:multiLevelType w:val="multilevel"/>
    <w:tmpl w:val="4C230CE6"/>
    <w:lvl w:ilvl="0" w:tentative="0">
      <w:start w:val="1"/>
      <w:numFmt w:val="chineseCountingThousand"/>
      <w:lvlText w:val="%1、"/>
      <w:lvlJc w:val="left"/>
      <w:pPr>
        <w:ind w:left="425" w:hanging="425"/>
      </w:pPr>
      <w:rPr>
        <w:rFonts w:hint="eastAsia"/>
        <w:sz w:val="24"/>
        <w:szCs w:val="24"/>
      </w:rPr>
    </w:lvl>
    <w:lvl w:ilvl="1" w:tentative="0">
      <w:start w:val="1"/>
      <w:numFmt w:val="chineseCountingThousand"/>
      <w:lvlText w:val="（%2）"/>
      <w:lvlJc w:val="left"/>
      <w:pPr>
        <w:ind w:left="1844" w:hanging="567"/>
      </w:pPr>
      <w:rPr>
        <w:rFonts w:hint="eastAsia" w:ascii="宋体" w:hAnsi="宋体" w:eastAsia="宋体"/>
        <w:sz w:val="21"/>
        <w:szCs w:val="24"/>
      </w:rPr>
    </w:lvl>
    <w:lvl w:ilvl="2" w:tentative="0">
      <w:start w:val="1"/>
      <w:numFmt w:val="decimal"/>
      <w:lvlText w:val="%3."/>
      <w:lvlJc w:val="left"/>
      <w:pPr>
        <w:ind w:left="1418" w:hanging="567"/>
      </w:pPr>
      <w:rPr>
        <w:rFonts w:hint="eastAsia"/>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50A79585"/>
    <w:multiLevelType w:val="multilevel"/>
    <w:tmpl w:val="50A79585"/>
    <w:lvl w:ilvl="0" w:tentative="0">
      <w:start w:val="1"/>
      <w:numFmt w:val="chineseCountingThousand"/>
      <w:lvlText w:val="%1、"/>
      <w:lvlJc w:val="left"/>
      <w:pPr>
        <w:ind w:left="425" w:hanging="425"/>
      </w:pPr>
      <w:rPr>
        <w:rFonts w:hint="eastAsia"/>
        <w:sz w:val="24"/>
        <w:szCs w:val="24"/>
      </w:rPr>
    </w:lvl>
    <w:lvl w:ilvl="1" w:tentative="0">
      <w:start w:val="1"/>
      <w:numFmt w:val="chineseCountingThousand"/>
      <w:lvlText w:val="（%2）"/>
      <w:lvlJc w:val="left"/>
      <w:pPr>
        <w:ind w:left="709" w:hanging="567"/>
      </w:pPr>
      <w:rPr>
        <w:rFonts w:hint="eastAsia" w:ascii="宋体" w:hAnsi="宋体" w:eastAsia="宋体"/>
        <w:b/>
        <w:sz w:val="21"/>
        <w:szCs w:val="24"/>
      </w:rPr>
    </w:lvl>
    <w:lvl w:ilvl="2" w:tentative="0">
      <w:start w:val="1"/>
      <w:numFmt w:val="decimal"/>
      <w:lvlText w:val="%3."/>
      <w:lvlJc w:val="left"/>
      <w:pPr>
        <w:ind w:left="1418" w:hanging="567"/>
      </w:pPr>
      <w:rPr>
        <w:rFonts w:hint="eastAsia"/>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53B17D05"/>
    <w:multiLevelType w:val="multilevel"/>
    <w:tmpl w:val="53B17D05"/>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宋体" w:hAnsi="宋体" w:eastAsia="宋体"/>
        <w:b/>
        <w:color w:val="auto"/>
        <w:sz w:val="24"/>
        <w:szCs w:val="24"/>
      </w:rPr>
    </w:lvl>
    <w:lvl w:ilvl="2" w:tentative="0">
      <w:start w:val="1"/>
      <w:numFmt w:val="decimal"/>
      <w:lvlText w:val="（%3）"/>
      <w:lvlJc w:val="left"/>
      <w:pPr>
        <w:ind w:left="987" w:hanging="647"/>
      </w:pPr>
      <w:rPr>
        <w:rFonts w:hint="default"/>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56216BF3"/>
    <w:multiLevelType w:val="multilevel"/>
    <w:tmpl w:val="56216BF3"/>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75D2D94"/>
    <w:multiLevelType w:val="multilevel"/>
    <w:tmpl w:val="575D2D94"/>
    <w:lvl w:ilvl="0" w:tentative="0">
      <w:start w:val="1"/>
      <w:numFmt w:val="chineseCountingThousand"/>
      <w:lvlText w:val="%1、"/>
      <w:lvlJc w:val="left"/>
      <w:pPr>
        <w:ind w:left="425" w:hanging="425"/>
      </w:pPr>
      <w:rPr>
        <w:rFonts w:hint="eastAsia"/>
        <w:sz w:val="24"/>
        <w:szCs w:val="24"/>
      </w:rPr>
    </w:lvl>
    <w:lvl w:ilvl="1" w:tentative="0">
      <w:start w:val="1"/>
      <w:numFmt w:val="chineseCountingThousand"/>
      <w:lvlText w:val="（%2）"/>
      <w:lvlJc w:val="left"/>
      <w:pPr>
        <w:ind w:left="1844" w:hanging="567"/>
      </w:pPr>
      <w:rPr>
        <w:rFonts w:hint="eastAsia" w:ascii="宋体" w:hAnsi="宋体" w:eastAsia="宋体"/>
        <w:sz w:val="21"/>
        <w:szCs w:val="24"/>
      </w:rPr>
    </w:lvl>
    <w:lvl w:ilvl="2" w:tentative="0">
      <w:start w:val="1"/>
      <w:numFmt w:val="decimal"/>
      <w:lvlText w:val="%3."/>
      <w:lvlJc w:val="left"/>
      <w:pPr>
        <w:ind w:left="1418" w:hanging="567"/>
      </w:pPr>
      <w:rPr>
        <w:rFonts w:hint="eastAsia"/>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575D2E5B"/>
    <w:multiLevelType w:val="multilevel"/>
    <w:tmpl w:val="575D2E5B"/>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6FE57987"/>
    <w:multiLevelType w:val="multilevel"/>
    <w:tmpl w:val="6FE57987"/>
    <w:lvl w:ilvl="0" w:tentative="0">
      <w:start w:val="1"/>
      <w:numFmt w:val="decimal"/>
      <w:lvlText w:val="%1."/>
      <w:lvlJc w:val="left"/>
      <w:pPr>
        <w:tabs>
          <w:tab w:val="left" w:pos="840"/>
        </w:tabs>
        <w:ind w:left="840" w:hanging="420"/>
      </w:pPr>
      <w:rPr>
        <w:rFonts w:cs="Times New Roman"/>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6">
    <w:nsid w:val="737766E9"/>
    <w:multiLevelType w:val="multilevel"/>
    <w:tmpl w:val="737766E9"/>
    <w:lvl w:ilvl="0" w:tentative="0">
      <w:start w:val="1"/>
      <w:numFmt w:val="decimal"/>
      <w:lvlText w:val="%1."/>
      <w:lvlJc w:val="left"/>
      <w:pPr>
        <w:tabs>
          <w:tab w:val="left" w:pos="840"/>
        </w:tabs>
        <w:ind w:left="84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4"/>
  </w:num>
  <w:num w:numId="2">
    <w:abstractNumId w:val="5"/>
  </w:num>
  <w:num w:numId="3">
    <w:abstractNumId w:val="11"/>
  </w:num>
  <w:num w:numId="4">
    <w:abstractNumId w:val="6"/>
  </w:num>
  <w:num w:numId="5">
    <w:abstractNumId w:val="3"/>
  </w:num>
  <w:num w:numId="6">
    <w:abstractNumId w:val="9"/>
  </w:num>
  <w:num w:numId="7">
    <w:abstractNumId w:val="13"/>
  </w:num>
  <w:num w:numId="8">
    <w:abstractNumId w:val="12"/>
  </w:num>
  <w:num w:numId="9">
    <w:abstractNumId w:val="8"/>
  </w:num>
  <w:num w:numId="10">
    <w:abstractNumId w:val="0"/>
  </w:num>
  <w:num w:numId="11">
    <w:abstractNumId w:val="16"/>
  </w:num>
  <w:num w:numId="12">
    <w:abstractNumId w:val="14"/>
  </w:num>
  <w:num w:numId="13">
    <w:abstractNumId w:val="2"/>
  </w:num>
  <w:num w:numId="14">
    <w:abstractNumId w:val="10"/>
  </w:num>
  <w:num w:numId="15">
    <w:abstractNumId w:val="15"/>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1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采购编号" w:val="GGPC-[2014]207"/>
  </w:docVars>
  <w:rsids>
    <w:rsidRoot w:val="00A54FA9"/>
    <w:rsid w:val="00000929"/>
    <w:rsid w:val="0000158A"/>
    <w:rsid w:val="000017B6"/>
    <w:rsid w:val="00002761"/>
    <w:rsid w:val="0000420B"/>
    <w:rsid w:val="00005330"/>
    <w:rsid w:val="00005F10"/>
    <w:rsid w:val="00006636"/>
    <w:rsid w:val="00006FA0"/>
    <w:rsid w:val="00007641"/>
    <w:rsid w:val="00010E9A"/>
    <w:rsid w:val="00011501"/>
    <w:rsid w:val="000136FE"/>
    <w:rsid w:val="000148E4"/>
    <w:rsid w:val="00015F88"/>
    <w:rsid w:val="00015F8B"/>
    <w:rsid w:val="000161BC"/>
    <w:rsid w:val="000167D8"/>
    <w:rsid w:val="00017B12"/>
    <w:rsid w:val="00020003"/>
    <w:rsid w:val="0002097E"/>
    <w:rsid w:val="00020C8A"/>
    <w:rsid w:val="00021A29"/>
    <w:rsid w:val="00022685"/>
    <w:rsid w:val="0002382C"/>
    <w:rsid w:val="000243A1"/>
    <w:rsid w:val="00024BE9"/>
    <w:rsid w:val="000268D5"/>
    <w:rsid w:val="00030C1A"/>
    <w:rsid w:val="00031F55"/>
    <w:rsid w:val="0003285F"/>
    <w:rsid w:val="000409F7"/>
    <w:rsid w:val="0004150A"/>
    <w:rsid w:val="000418AC"/>
    <w:rsid w:val="000421B4"/>
    <w:rsid w:val="00043664"/>
    <w:rsid w:val="000436D4"/>
    <w:rsid w:val="000438CB"/>
    <w:rsid w:val="00043D46"/>
    <w:rsid w:val="000443A9"/>
    <w:rsid w:val="00044997"/>
    <w:rsid w:val="00046EC9"/>
    <w:rsid w:val="00047711"/>
    <w:rsid w:val="0004798D"/>
    <w:rsid w:val="00047F57"/>
    <w:rsid w:val="00050EA4"/>
    <w:rsid w:val="000516E5"/>
    <w:rsid w:val="0005407D"/>
    <w:rsid w:val="000542B1"/>
    <w:rsid w:val="00056E5E"/>
    <w:rsid w:val="00057D86"/>
    <w:rsid w:val="000603B4"/>
    <w:rsid w:val="00062530"/>
    <w:rsid w:val="00062783"/>
    <w:rsid w:val="00063E5E"/>
    <w:rsid w:val="0006578F"/>
    <w:rsid w:val="00065DE9"/>
    <w:rsid w:val="000702AE"/>
    <w:rsid w:val="00070B41"/>
    <w:rsid w:val="0007184D"/>
    <w:rsid w:val="000719C5"/>
    <w:rsid w:val="00072260"/>
    <w:rsid w:val="000725A7"/>
    <w:rsid w:val="00073753"/>
    <w:rsid w:val="0007448D"/>
    <w:rsid w:val="00074EC9"/>
    <w:rsid w:val="00077E85"/>
    <w:rsid w:val="000801A1"/>
    <w:rsid w:val="00080D05"/>
    <w:rsid w:val="00081271"/>
    <w:rsid w:val="000839E4"/>
    <w:rsid w:val="00085380"/>
    <w:rsid w:val="00085BE5"/>
    <w:rsid w:val="00085C9E"/>
    <w:rsid w:val="00086DCC"/>
    <w:rsid w:val="00087F5D"/>
    <w:rsid w:val="000921A9"/>
    <w:rsid w:val="00093D91"/>
    <w:rsid w:val="0009418C"/>
    <w:rsid w:val="00094F64"/>
    <w:rsid w:val="000952B6"/>
    <w:rsid w:val="00096C67"/>
    <w:rsid w:val="000A14D8"/>
    <w:rsid w:val="000A1681"/>
    <w:rsid w:val="000A4A3C"/>
    <w:rsid w:val="000A4B8F"/>
    <w:rsid w:val="000A65DF"/>
    <w:rsid w:val="000A79C4"/>
    <w:rsid w:val="000B0278"/>
    <w:rsid w:val="000B0AA3"/>
    <w:rsid w:val="000B14F3"/>
    <w:rsid w:val="000B1635"/>
    <w:rsid w:val="000B16A3"/>
    <w:rsid w:val="000B1860"/>
    <w:rsid w:val="000B1A48"/>
    <w:rsid w:val="000B27EA"/>
    <w:rsid w:val="000B2C29"/>
    <w:rsid w:val="000B3168"/>
    <w:rsid w:val="000B54D3"/>
    <w:rsid w:val="000B6C8A"/>
    <w:rsid w:val="000C07D1"/>
    <w:rsid w:val="000C08A7"/>
    <w:rsid w:val="000C14F5"/>
    <w:rsid w:val="000C17D3"/>
    <w:rsid w:val="000C29B0"/>
    <w:rsid w:val="000C381A"/>
    <w:rsid w:val="000C3EB7"/>
    <w:rsid w:val="000C70E6"/>
    <w:rsid w:val="000C768E"/>
    <w:rsid w:val="000D0284"/>
    <w:rsid w:val="000D02EB"/>
    <w:rsid w:val="000D0CD2"/>
    <w:rsid w:val="000D135E"/>
    <w:rsid w:val="000D3641"/>
    <w:rsid w:val="000D3AA0"/>
    <w:rsid w:val="000D3BCD"/>
    <w:rsid w:val="000E2856"/>
    <w:rsid w:val="000E3F13"/>
    <w:rsid w:val="000E3FFC"/>
    <w:rsid w:val="000E4058"/>
    <w:rsid w:val="000E5DB6"/>
    <w:rsid w:val="000E6EC6"/>
    <w:rsid w:val="000E7B65"/>
    <w:rsid w:val="000F0885"/>
    <w:rsid w:val="000F0E59"/>
    <w:rsid w:val="000F0EC7"/>
    <w:rsid w:val="000F10D5"/>
    <w:rsid w:val="000F131F"/>
    <w:rsid w:val="000F53EA"/>
    <w:rsid w:val="000F5ACB"/>
    <w:rsid w:val="000F6BBB"/>
    <w:rsid w:val="000F6C2B"/>
    <w:rsid w:val="00101027"/>
    <w:rsid w:val="00101E21"/>
    <w:rsid w:val="00102491"/>
    <w:rsid w:val="00103EFA"/>
    <w:rsid w:val="00104D1C"/>
    <w:rsid w:val="00106FB0"/>
    <w:rsid w:val="00107A5D"/>
    <w:rsid w:val="00110325"/>
    <w:rsid w:val="00111922"/>
    <w:rsid w:val="00111DB1"/>
    <w:rsid w:val="00111E10"/>
    <w:rsid w:val="00112539"/>
    <w:rsid w:val="0011334E"/>
    <w:rsid w:val="00114642"/>
    <w:rsid w:val="00114739"/>
    <w:rsid w:val="0011476F"/>
    <w:rsid w:val="00115082"/>
    <w:rsid w:val="0011513F"/>
    <w:rsid w:val="00116774"/>
    <w:rsid w:val="00117086"/>
    <w:rsid w:val="00117112"/>
    <w:rsid w:val="001172C0"/>
    <w:rsid w:val="00117FC5"/>
    <w:rsid w:val="00121422"/>
    <w:rsid w:val="00121450"/>
    <w:rsid w:val="00121F9F"/>
    <w:rsid w:val="0012334D"/>
    <w:rsid w:val="00124538"/>
    <w:rsid w:val="0012505B"/>
    <w:rsid w:val="00125262"/>
    <w:rsid w:val="00125FF4"/>
    <w:rsid w:val="00126ACA"/>
    <w:rsid w:val="00130A2A"/>
    <w:rsid w:val="00131647"/>
    <w:rsid w:val="00131F54"/>
    <w:rsid w:val="00132654"/>
    <w:rsid w:val="00132744"/>
    <w:rsid w:val="00133954"/>
    <w:rsid w:val="001347E0"/>
    <w:rsid w:val="00135BF9"/>
    <w:rsid w:val="001371C3"/>
    <w:rsid w:val="0013740B"/>
    <w:rsid w:val="0013794E"/>
    <w:rsid w:val="001400ED"/>
    <w:rsid w:val="0014223E"/>
    <w:rsid w:val="00142F08"/>
    <w:rsid w:val="00142F8F"/>
    <w:rsid w:val="001434C0"/>
    <w:rsid w:val="001437C1"/>
    <w:rsid w:val="00144E70"/>
    <w:rsid w:val="00146367"/>
    <w:rsid w:val="0014687A"/>
    <w:rsid w:val="00146B45"/>
    <w:rsid w:val="00147772"/>
    <w:rsid w:val="00147BED"/>
    <w:rsid w:val="001502D7"/>
    <w:rsid w:val="0015035F"/>
    <w:rsid w:val="0015135F"/>
    <w:rsid w:val="001516E5"/>
    <w:rsid w:val="00152C11"/>
    <w:rsid w:val="0015364C"/>
    <w:rsid w:val="00154109"/>
    <w:rsid w:val="0015592A"/>
    <w:rsid w:val="001568D0"/>
    <w:rsid w:val="00156B48"/>
    <w:rsid w:val="0016177B"/>
    <w:rsid w:val="00162311"/>
    <w:rsid w:val="00162625"/>
    <w:rsid w:val="001646AC"/>
    <w:rsid w:val="0016478A"/>
    <w:rsid w:val="00165151"/>
    <w:rsid w:val="0016575E"/>
    <w:rsid w:val="00166567"/>
    <w:rsid w:val="00166A4A"/>
    <w:rsid w:val="0016731D"/>
    <w:rsid w:val="00167644"/>
    <w:rsid w:val="001676DE"/>
    <w:rsid w:val="00170FF6"/>
    <w:rsid w:val="001713FB"/>
    <w:rsid w:val="00172207"/>
    <w:rsid w:val="00173219"/>
    <w:rsid w:val="00173B92"/>
    <w:rsid w:val="0017414A"/>
    <w:rsid w:val="001749E6"/>
    <w:rsid w:val="00176679"/>
    <w:rsid w:val="00180471"/>
    <w:rsid w:val="001812B8"/>
    <w:rsid w:val="0018442B"/>
    <w:rsid w:val="001845A2"/>
    <w:rsid w:val="00187282"/>
    <w:rsid w:val="0019041A"/>
    <w:rsid w:val="00190701"/>
    <w:rsid w:val="00191E2C"/>
    <w:rsid w:val="00192E6F"/>
    <w:rsid w:val="00195749"/>
    <w:rsid w:val="00196004"/>
    <w:rsid w:val="001969D0"/>
    <w:rsid w:val="0019716D"/>
    <w:rsid w:val="001A0837"/>
    <w:rsid w:val="001A0A40"/>
    <w:rsid w:val="001A242E"/>
    <w:rsid w:val="001A38F4"/>
    <w:rsid w:val="001A3E73"/>
    <w:rsid w:val="001A5430"/>
    <w:rsid w:val="001A5835"/>
    <w:rsid w:val="001A6337"/>
    <w:rsid w:val="001B0178"/>
    <w:rsid w:val="001B06CE"/>
    <w:rsid w:val="001B33E3"/>
    <w:rsid w:val="001B37A4"/>
    <w:rsid w:val="001B38F8"/>
    <w:rsid w:val="001B47CC"/>
    <w:rsid w:val="001B4FB7"/>
    <w:rsid w:val="001B6804"/>
    <w:rsid w:val="001C0F66"/>
    <w:rsid w:val="001C1496"/>
    <w:rsid w:val="001C21CA"/>
    <w:rsid w:val="001C2515"/>
    <w:rsid w:val="001C2FFF"/>
    <w:rsid w:val="001C3C0D"/>
    <w:rsid w:val="001C4341"/>
    <w:rsid w:val="001C438A"/>
    <w:rsid w:val="001C4D6D"/>
    <w:rsid w:val="001C6CB6"/>
    <w:rsid w:val="001C725F"/>
    <w:rsid w:val="001C7B52"/>
    <w:rsid w:val="001C7FF5"/>
    <w:rsid w:val="001D013E"/>
    <w:rsid w:val="001D0A61"/>
    <w:rsid w:val="001D0F88"/>
    <w:rsid w:val="001D10F5"/>
    <w:rsid w:val="001D1C58"/>
    <w:rsid w:val="001D2EEE"/>
    <w:rsid w:val="001D2F20"/>
    <w:rsid w:val="001D351C"/>
    <w:rsid w:val="001D69AA"/>
    <w:rsid w:val="001E07D8"/>
    <w:rsid w:val="001E178B"/>
    <w:rsid w:val="001E4591"/>
    <w:rsid w:val="001E4C58"/>
    <w:rsid w:val="001E5372"/>
    <w:rsid w:val="001E56FA"/>
    <w:rsid w:val="001E605F"/>
    <w:rsid w:val="001E684D"/>
    <w:rsid w:val="001E75E7"/>
    <w:rsid w:val="001E7734"/>
    <w:rsid w:val="001E7775"/>
    <w:rsid w:val="001E7D28"/>
    <w:rsid w:val="001F1882"/>
    <w:rsid w:val="001F1986"/>
    <w:rsid w:val="001F1F86"/>
    <w:rsid w:val="001F29B5"/>
    <w:rsid w:val="001F2ABB"/>
    <w:rsid w:val="001F3437"/>
    <w:rsid w:val="001F3D9A"/>
    <w:rsid w:val="001F3F18"/>
    <w:rsid w:val="001F4D25"/>
    <w:rsid w:val="001F59FB"/>
    <w:rsid w:val="001F72B1"/>
    <w:rsid w:val="001F7759"/>
    <w:rsid w:val="001F7DBA"/>
    <w:rsid w:val="00200663"/>
    <w:rsid w:val="00203B83"/>
    <w:rsid w:val="002059AC"/>
    <w:rsid w:val="002067C5"/>
    <w:rsid w:val="00207D9F"/>
    <w:rsid w:val="002108E7"/>
    <w:rsid w:val="002125ED"/>
    <w:rsid w:val="00212E9C"/>
    <w:rsid w:val="00214B2C"/>
    <w:rsid w:val="002154F6"/>
    <w:rsid w:val="00215A28"/>
    <w:rsid w:val="00215E71"/>
    <w:rsid w:val="002166FF"/>
    <w:rsid w:val="00217D6A"/>
    <w:rsid w:val="00222E0E"/>
    <w:rsid w:val="0022377E"/>
    <w:rsid w:val="00224285"/>
    <w:rsid w:val="002258C4"/>
    <w:rsid w:val="00225CDC"/>
    <w:rsid w:val="002265AD"/>
    <w:rsid w:val="0023253E"/>
    <w:rsid w:val="002329F4"/>
    <w:rsid w:val="00233C02"/>
    <w:rsid w:val="00236278"/>
    <w:rsid w:val="002378FD"/>
    <w:rsid w:val="00241D6A"/>
    <w:rsid w:val="00242DE4"/>
    <w:rsid w:val="002445CD"/>
    <w:rsid w:val="002448CA"/>
    <w:rsid w:val="00244935"/>
    <w:rsid w:val="00244B17"/>
    <w:rsid w:val="0024581A"/>
    <w:rsid w:val="00245E4D"/>
    <w:rsid w:val="00246798"/>
    <w:rsid w:val="002467A9"/>
    <w:rsid w:val="002476BA"/>
    <w:rsid w:val="00250608"/>
    <w:rsid w:val="002512AB"/>
    <w:rsid w:val="00251D37"/>
    <w:rsid w:val="002529E3"/>
    <w:rsid w:val="00252E06"/>
    <w:rsid w:val="0025367D"/>
    <w:rsid w:val="00253837"/>
    <w:rsid w:val="0025386B"/>
    <w:rsid w:val="00256D3A"/>
    <w:rsid w:val="00260221"/>
    <w:rsid w:val="00260862"/>
    <w:rsid w:val="0026350B"/>
    <w:rsid w:val="002636B6"/>
    <w:rsid w:val="00266E51"/>
    <w:rsid w:val="002705D0"/>
    <w:rsid w:val="002732FD"/>
    <w:rsid w:val="00273D49"/>
    <w:rsid w:val="002749D0"/>
    <w:rsid w:val="00274BCE"/>
    <w:rsid w:val="00275761"/>
    <w:rsid w:val="00276620"/>
    <w:rsid w:val="00277A00"/>
    <w:rsid w:val="00280313"/>
    <w:rsid w:val="00281410"/>
    <w:rsid w:val="00281FD7"/>
    <w:rsid w:val="002826F6"/>
    <w:rsid w:val="00282F27"/>
    <w:rsid w:val="00283A95"/>
    <w:rsid w:val="002845B0"/>
    <w:rsid w:val="002846D3"/>
    <w:rsid w:val="002846F1"/>
    <w:rsid w:val="00285CB8"/>
    <w:rsid w:val="00285F7E"/>
    <w:rsid w:val="00286E26"/>
    <w:rsid w:val="0028728D"/>
    <w:rsid w:val="0028765A"/>
    <w:rsid w:val="0029192F"/>
    <w:rsid w:val="00292208"/>
    <w:rsid w:val="002929D7"/>
    <w:rsid w:val="00293126"/>
    <w:rsid w:val="00293A77"/>
    <w:rsid w:val="00295ECC"/>
    <w:rsid w:val="00297244"/>
    <w:rsid w:val="002974E0"/>
    <w:rsid w:val="00297CE9"/>
    <w:rsid w:val="002A0104"/>
    <w:rsid w:val="002A012E"/>
    <w:rsid w:val="002A07A1"/>
    <w:rsid w:val="002A225F"/>
    <w:rsid w:val="002A2471"/>
    <w:rsid w:val="002A2C57"/>
    <w:rsid w:val="002A38CB"/>
    <w:rsid w:val="002A3DAF"/>
    <w:rsid w:val="002A5117"/>
    <w:rsid w:val="002A5997"/>
    <w:rsid w:val="002A59D7"/>
    <w:rsid w:val="002A6DAC"/>
    <w:rsid w:val="002A72CF"/>
    <w:rsid w:val="002B01C1"/>
    <w:rsid w:val="002B05E6"/>
    <w:rsid w:val="002B1184"/>
    <w:rsid w:val="002B1B30"/>
    <w:rsid w:val="002B2321"/>
    <w:rsid w:val="002B26DC"/>
    <w:rsid w:val="002B2E58"/>
    <w:rsid w:val="002B4ABA"/>
    <w:rsid w:val="002B5360"/>
    <w:rsid w:val="002B6318"/>
    <w:rsid w:val="002B7596"/>
    <w:rsid w:val="002B7B32"/>
    <w:rsid w:val="002C0945"/>
    <w:rsid w:val="002C0BCD"/>
    <w:rsid w:val="002C13F0"/>
    <w:rsid w:val="002C13F3"/>
    <w:rsid w:val="002C17B3"/>
    <w:rsid w:val="002C3543"/>
    <w:rsid w:val="002C3E83"/>
    <w:rsid w:val="002C7F36"/>
    <w:rsid w:val="002D13AC"/>
    <w:rsid w:val="002D165D"/>
    <w:rsid w:val="002D317A"/>
    <w:rsid w:val="002D3311"/>
    <w:rsid w:val="002D3526"/>
    <w:rsid w:val="002D3AAE"/>
    <w:rsid w:val="002D44EA"/>
    <w:rsid w:val="002D5A80"/>
    <w:rsid w:val="002D5FB9"/>
    <w:rsid w:val="002D7696"/>
    <w:rsid w:val="002E0555"/>
    <w:rsid w:val="002E0D34"/>
    <w:rsid w:val="002E10E6"/>
    <w:rsid w:val="002E2179"/>
    <w:rsid w:val="002E2E9D"/>
    <w:rsid w:val="002E3772"/>
    <w:rsid w:val="002E4416"/>
    <w:rsid w:val="002E46DE"/>
    <w:rsid w:val="002E4FBB"/>
    <w:rsid w:val="002E619D"/>
    <w:rsid w:val="002E6F9D"/>
    <w:rsid w:val="002E7576"/>
    <w:rsid w:val="002E79CB"/>
    <w:rsid w:val="002F0E4F"/>
    <w:rsid w:val="002F1A5F"/>
    <w:rsid w:val="002F1C3C"/>
    <w:rsid w:val="002F4E5C"/>
    <w:rsid w:val="002F5035"/>
    <w:rsid w:val="002F5698"/>
    <w:rsid w:val="0030220D"/>
    <w:rsid w:val="00302E77"/>
    <w:rsid w:val="003031DF"/>
    <w:rsid w:val="00303A4C"/>
    <w:rsid w:val="003057F3"/>
    <w:rsid w:val="0030698A"/>
    <w:rsid w:val="00310D4C"/>
    <w:rsid w:val="0031100C"/>
    <w:rsid w:val="00313C2D"/>
    <w:rsid w:val="00313E5A"/>
    <w:rsid w:val="003141A1"/>
    <w:rsid w:val="0031537B"/>
    <w:rsid w:val="0031750F"/>
    <w:rsid w:val="00317C8A"/>
    <w:rsid w:val="00321E08"/>
    <w:rsid w:val="0032245D"/>
    <w:rsid w:val="003232AC"/>
    <w:rsid w:val="003234BA"/>
    <w:rsid w:val="00323744"/>
    <w:rsid w:val="00323FBD"/>
    <w:rsid w:val="00324B36"/>
    <w:rsid w:val="00324D53"/>
    <w:rsid w:val="00325B12"/>
    <w:rsid w:val="00325B57"/>
    <w:rsid w:val="003263A0"/>
    <w:rsid w:val="00326BF1"/>
    <w:rsid w:val="00326ECD"/>
    <w:rsid w:val="00327184"/>
    <w:rsid w:val="00327CE0"/>
    <w:rsid w:val="00327FE6"/>
    <w:rsid w:val="0033124D"/>
    <w:rsid w:val="003312A9"/>
    <w:rsid w:val="00332C64"/>
    <w:rsid w:val="00332FFD"/>
    <w:rsid w:val="00333547"/>
    <w:rsid w:val="003367FE"/>
    <w:rsid w:val="00337FD0"/>
    <w:rsid w:val="00341DCF"/>
    <w:rsid w:val="00343A5D"/>
    <w:rsid w:val="0034473E"/>
    <w:rsid w:val="00344A57"/>
    <w:rsid w:val="00344D3F"/>
    <w:rsid w:val="003458A5"/>
    <w:rsid w:val="00345D41"/>
    <w:rsid w:val="00346EAB"/>
    <w:rsid w:val="00347AF0"/>
    <w:rsid w:val="00350128"/>
    <w:rsid w:val="0035355C"/>
    <w:rsid w:val="003543A7"/>
    <w:rsid w:val="00355044"/>
    <w:rsid w:val="00356C49"/>
    <w:rsid w:val="003603CD"/>
    <w:rsid w:val="00361C15"/>
    <w:rsid w:val="0036474C"/>
    <w:rsid w:val="003656F5"/>
    <w:rsid w:val="00365D83"/>
    <w:rsid w:val="0036674C"/>
    <w:rsid w:val="0037115C"/>
    <w:rsid w:val="003716F9"/>
    <w:rsid w:val="0037280B"/>
    <w:rsid w:val="00373A80"/>
    <w:rsid w:val="00374C36"/>
    <w:rsid w:val="00374E66"/>
    <w:rsid w:val="00376080"/>
    <w:rsid w:val="0037613F"/>
    <w:rsid w:val="00377247"/>
    <w:rsid w:val="003803DC"/>
    <w:rsid w:val="00380995"/>
    <w:rsid w:val="00382600"/>
    <w:rsid w:val="00383D88"/>
    <w:rsid w:val="00383F3B"/>
    <w:rsid w:val="00384099"/>
    <w:rsid w:val="003862D5"/>
    <w:rsid w:val="00387C44"/>
    <w:rsid w:val="00390DFE"/>
    <w:rsid w:val="00390E31"/>
    <w:rsid w:val="00391475"/>
    <w:rsid w:val="0039207F"/>
    <w:rsid w:val="00392440"/>
    <w:rsid w:val="00395425"/>
    <w:rsid w:val="003959D0"/>
    <w:rsid w:val="00396485"/>
    <w:rsid w:val="0039776A"/>
    <w:rsid w:val="003A0300"/>
    <w:rsid w:val="003A08A3"/>
    <w:rsid w:val="003A12F0"/>
    <w:rsid w:val="003A1B1F"/>
    <w:rsid w:val="003A2B58"/>
    <w:rsid w:val="003A3B29"/>
    <w:rsid w:val="003A5A56"/>
    <w:rsid w:val="003A62E9"/>
    <w:rsid w:val="003A7266"/>
    <w:rsid w:val="003A7A17"/>
    <w:rsid w:val="003A7E2D"/>
    <w:rsid w:val="003B1848"/>
    <w:rsid w:val="003B1FCB"/>
    <w:rsid w:val="003B248F"/>
    <w:rsid w:val="003B3748"/>
    <w:rsid w:val="003B472B"/>
    <w:rsid w:val="003B709D"/>
    <w:rsid w:val="003C020B"/>
    <w:rsid w:val="003C0415"/>
    <w:rsid w:val="003C0AD6"/>
    <w:rsid w:val="003C0BFF"/>
    <w:rsid w:val="003C1F84"/>
    <w:rsid w:val="003C2304"/>
    <w:rsid w:val="003C50AC"/>
    <w:rsid w:val="003C5E4B"/>
    <w:rsid w:val="003C6569"/>
    <w:rsid w:val="003D3D81"/>
    <w:rsid w:val="003D3F55"/>
    <w:rsid w:val="003D47B6"/>
    <w:rsid w:val="003D6C79"/>
    <w:rsid w:val="003D6F23"/>
    <w:rsid w:val="003D7DFE"/>
    <w:rsid w:val="003E0F5D"/>
    <w:rsid w:val="003E1BCC"/>
    <w:rsid w:val="003E212D"/>
    <w:rsid w:val="003E4AF9"/>
    <w:rsid w:val="003E552A"/>
    <w:rsid w:val="003E5BEC"/>
    <w:rsid w:val="003F26BB"/>
    <w:rsid w:val="003F2821"/>
    <w:rsid w:val="0040063B"/>
    <w:rsid w:val="004008C9"/>
    <w:rsid w:val="00400D86"/>
    <w:rsid w:val="00402C91"/>
    <w:rsid w:val="00405A18"/>
    <w:rsid w:val="00405F2E"/>
    <w:rsid w:val="00406186"/>
    <w:rsid w:val="00406339"/>
    <w:rsid w:val="004072C1"/>
    <w:rsid w:val="00407848"/>
    <w:rsid w:val="00410B9B"/>
    <w:rsid w:val="00411146"/>
    <w:rsid w:val="00411CA2"/>
    <w:rsid w:val="004121E5"/>
    <w:rsid w:val="00412886"/>
    <w:rsid w:val="00413CA7"/>
    <w:rsid w:val="00414DD0"/>
    <w:rsid w:val="00415406"/>
    <w:rsid w:val="00416767"/>
    <w:rsid w:val="00416A12"/>
    <w:rsid w:val="00417602"/>
    <w:rsid w:val="004208D8"/>
    <w:rsid w:val="00420E09"/>
    <w:rsid w:val="00422837"/>
    <w:rsid w:val="00423700"/>
    <w:rsid w:val="00424086"/>
    <w:rsid w:val="0042424B"/>
    <w:rsid w:val="00426EE7"/>
    <w:rsid w:val="00427749"/>
    <w:rsid w:val="00427E42"/>
    <w:rsid w:val="0043017A"/>
    <w:rsid w:val="00430768"/>
    <w:rsid w:val="0043096A"/>
    <w:rsid w:val="00430EBE"/>
    <w:rsid w:val="00432868"/>
    <w:rsid w:val="00433499"/>
    <w:rsid w:val="0043390E"/>
    <w:rsid w:val="00434270"/>
    <w:rsid w:val="00435FF1"/>
    <w:rsid w:val="00436C91"/>
    <w:rsid w:val="00440562"/>
    <w:rsid w:val="00440B8B"/>
    <w:rsid w:val="00442BE0"/>
    <w:rsid w:val="00443631"/>
    <w:rsid w:val="00443A9E"/>
    <w:rsid w:val="004445CD"/>
    <w:rsid w:val="0044661A"/>
    <w:rsid w:val="004466DC"/>
    <w:rsid w:val="004470B7"/>
    <w:rsid w:val="00447C02"/>
    <w:rsid w:val="00447D32"/>
    <w:rsid w:val="004538B5"/>
    <w:rsid w:val="00455EC9"/>
    <w:rsid w:val="004561A8"/>
    <w:rsid w:val="0045729E"/>
    <w:rsid w:val="00457636"/>
    <w:rsid w:val="00457B37"/>
    <w:rsid w:val="00460919"/>
    <w:rsid w:val="00460E11"/>
    <w:rsid w:val="00461AF8"/>
    <w:rsid w:val="00463649"/>
    <w:rsid w:val="004645B8"/>
    <w:rsid w:val="00467090"/>
    <w:rsid w:val="00467575"/>
    <w:rsid w:val="004675DC"/>
    <w:rsid w:val="0046783F"/>
    <w:rsid w:val="00467DB4"/>
    <w:rsid w:val="00467E82"/>
    <w:rsid w:val="0047021D"/>
    <w:rsid w:val="00471965"/>
    <w:rsid w:val="00471EBD"/>
    <w:rsid w:val="00474E5D"/>
    <w:rsid w:val="004763E7"/>
    <w:rsid w:val="0047643B"/>
    <w:rsid w:val="004772F7"/>
    <w:rsid w:val="004805B6"/>
    <w:rsid w:val="00481816"/>
    <w:rsid w:val="00481D99"/>
    <w:rsid w:val="0048315B"/>
    <w:rsid w:val="00483D5C"/>
    <w:rsid w:val="00484872"/>
    <w:rsid w:val="00484A16"/>
    <w:rsid w:val="00484F54"/>
    <w:rsid w:val="00485242"/>
    <w:rsid w:val="00485EE2"/>
    <w:rsid w:val="00485F5F"/>
    <w:rsid w:val="00485FC9"/>
    <w:rsid w:val="00487AC4"/>
    <w:rsid w:val="00487D51"/>
    <w:rsid w:val="00487FE3"/>
    <w:rsid w:val="00490A2D"/>
    <w:rsid w:val="00490D14"/>
    <w:rsid w:val="00493168"/>
    <w:rsid w:val="0049388A"/>
    <w:rsid w:val="00493F93"/>
    <w:rsid w:val="00497157"/>
    <w:rsid w:val="00497B24"/>
    <w:rsid w:val="004A245D"/>
    <w:rsid w:val="004A257C"/>
    <w:rsid w:val="004A312E"/>
    <w:rsid w:val="004A3F1C"/>
    <w:rsid w:val="004A4462"/>
    <w:rsid w:val="004A4803"/>
    <w:rsid w:val="004A5F0C"/>
    <w:rsid w:val="004A78B4"/>
    <w:rsid w:val="004B248C"/>
    <w:rsid w:val="004B3EDA"/>
    <w:rsid w:val="004B5AB5"/>
    <w:rsid w:val="004B6536"/>
    <w:rsid w:val="004B66DB"/>
    <w:rsid w:val="004B726C"/>
    <w:rsid w:val="004B7CB9"/>
    <w:rsid w:val="004C2F53"/>
    <w:rsid w:val="004C339F"/>
    <w:rsid w:val="004C369D"/>
    <w:rsid w:val="004C39DD"/>
    <w:rsid w:val="004C46EB"/>
    <w:rsid w:val="004C4AE6"/>
    <w:rsid w:val="004C4E76"/>
    <w:rsid w:val="004C70BD"/>
    <w:rsid w:val="004C7708"/>
    <w:rsid w:val="004C7A63"/>
    <w:rsid w:val="004D04DC"/>
    <w:rsid w:val="004D0631"/>
    <w:rsid w:val="004D0B49"/>
    <w:rsid w:val="004D1CF4"/>
    <w:rsid w:val="004D22BA"/>
    <w:rsid w:val="004D2C89"/>
    <w:rsid w:val="004D3D04"/>
    <w:rsid w:val="004D461E"/>
    <w:rsid w:val="004D4FAF"/>
    <w:rsid w:val="004D750A"/>
    <w:rsid w:val="004D7974"/>
    <w:rsid w:val="004E07D4"/>
    <w:rsid w:val="004E09B8"/>
    <w:rsid w:val="004E1373"/>
    <w:rsid w:val="004E1C35"/>
    <w:rsid w:val="004E3765"/>
    <w:rsid w:val="004E5557"/>
    <w:rsid w:val="004E6970"/>
    <w:rsid w:val="004E6BA0"/>
    <w:rsid w:val="004E7BD3"/>
    <w:rsid w:val="004F07D7"/>
    <w:rsid w:val="004F091A"/>
    <w:rsid w:val="004F1AE1"/>
    <w:rsid w:val="004F1FA5"/>
    <w:rsid w:val="004F2869"/>
    <w:rsid w:val="004F292F"/>
    <w:rsid w:val="004F63C8"/>
    <w:rsid w:val="004F71EA"/>
    <w:rsid w:val="004F76F0"/>
    <w:rsid w:val="0050040E"/>
    <w:rsid w:val="00500625"/>
    <w:rsid w:val="00500D2F"/>
    <w:rsid w:val="00501548"/>
    <w:rsid w:val="00501584"/>
    <w:rsid w:val="0050308D"/>
    <w:rsid w:val="005032CE"/>
    <w:rsid w:val="005048F1"/>
    <w:rsid w:val="00506FAB"/>
    <w:rsid w:val="005076BC"/>
    <w:rsid w:val="00507C53"/>
    <w:rsid w:val="005103F3"/>
    <w:rsid w:val="0051108E"/>
    <w:rsid w:val="00511684"/>
    <w:rsid w:val="00515172"/>
    <w:rsid w:val="00515A7F"/>
    <w:rsid w:val="00515FBF"/>
    <w:rsid w:val="00517AEA"/>
    <w:rsid w:val="005210DB"/>
    <w:rsid w:val="0052218D"/>
    <w:rsid w:val="005233FC"/>
    <w:rsid w:val="00523675"/>
    <w:rsid w:val="00523AEA"/>
    <w:rsid w:val="00523D32"/>
    <w:rsid w:val="00526EB7"/>
    <w:rsid w:val="00527FD2"/>
    <w:rsid w:val="00531A8B"/>
    <w:rsid w:val="0053231D"/>
    <w:rsid w:val="00532AB9"/>
    <w:rsid w:val="00532B26"/>
    <w:rsid w:val="00532EC1"/>
    <w:rsid w:val="00533355"/>
    <w:rsid w:val="005334C9"/>
    <w:rsid w:val="00534D3B"/>
    <w:rsid w:val="00535C9B"/>
    <w:rsid w:val="005409C3"/>
    <w:rsid w:val="005422EA"/>
    <w:rsid w:val="005441B4"/>
    <w:rsid w:val="00545AB9"/>
    <w:rsid w:val="00545E8F"/>
    <w:rsid w:val="0054661D"/>
    <w:rsid w:val="00546E5D"/>
    <w:rsid w:val="00550625"/>
    <w:rsid w:val="00550738"/>
    <w:rsid w:val="005513C1"/>
    <w:rsid w:val="0055164D"/>
    <w:rsid w:val="00552D0A"/>
    <w:rsid w:val="0055342A"/>
    <w:rsid w:val="00553FFD"/>
    <w:rsid w:val="00554534"/>
    <w:rsid w:val="00554C00"/>
    <w:rsid w:val="00556C3E"/>
    <w:rsid w:val="0055766C"/>
    <w:rsid w:val="00557D7A"/>
    <w:rsid w:val="00562F35"/>
    <w:rsid w:val="00563BD1"/>
    <w:rsid w:val="00564892"/>
    <w:rsid w:val="00564E2C"/>
    <w:rsid w:val="005661E8"/>
    <w:rsid w:val="0056647F"/>
    <w:rsid w:val="005666C7"/>
    <w:rsid w:val="0057074C"/>
    <w:rsid w:val="005709B3"/>
    <w:rsid w:val="0057429B"/>
    <w:rsid w:val="0057530C"/>
    <w:rsid w:val="0057647E"/>
    <w:rsid w:val="00576EAD"/>
    <w:rsid w:val="00577278"/>
    <w:rsid w:val="00577A54"/>
    <w:rsid w:val="005807DA"/>
    <w:rsid w:val="005807FB"/>
    <w:rsid w:val="00580D86"/>
    <w:rsid w:val="00581F6F"/>
    <w:rsid w:val="005823CD"/>
    <w:rsid w:val="00583333"/>
    <w:rsid w:val="005835ED"/>
    <w:rsid w:val="005873C1"/>
    <w:rsid w:val="00590FFC"/>
    <w:rsid w:val="0059174C"/>
    <w:rsid w:val="00591FE5"/>
    <w:rsid w:val="005920A9"/>
    <w:rsid w:val="00593A32"/>
    <w:rsid w:val="005946A6"/>
    <w:rsid w:val="00594B65"/>
    <w:rsid w:val="00594FB6"/>
    <w:rsid w:val="0059654D"/>
    <w:rsid w:val="005966E4"/>
    <w:rsid w:val="00596EB7"/>
    <w:rsid w:val="00596F40"/>
    <w:rsid w:val="005A25A9"/>
    <w:rsid w:val="005A3C6D"/>
    <w:rsid w:val="005A4363"/>
    <w:rsid w:val="005A7623"/>
    <w:rsid w:val="005A7D16"/>
    <w:rsid w:val="005B0527"/>
    <w:rsid w:val="005B11A2"/>
    <w:rsid w:val="005B1A0B"/>
    <w:rsid w:val="005B1C61"/>
    <w:rsid w:val="005B7131"/>
    <w:rsid w:val="005C0435"/>
    <w:rsid w:val="005C187F"/>
    <w:rsid w:val="005C1ECF"/>
    <w:rsid w:val="005C20FF"/>
    <w:rsid w:val="005C30D7"/>
    <w:rsid w:val="005D0656"/>
    <w:rsid w:val="005D19C4"/>
    <w:rsid w:val="005D2372"/>
    <w:rsid w:val="005D321B"/>
    <w:rsid w:val="005D4374"/>
    <w:rsid w:val="005D4A6C"/>
    <w:rsid w:val="005D4EF6"/>
    <w:rsid w:val="005D5E0F"/>
    <w:rsid w:val="005D5FD0"/>
    <w:rsid w:val="005D619B"/>
    <w:rsid w:val="005D634A"/>
    <w:rsid w:val="005D6B33"/>
    <w:rsid w:val="005D6E20"/>
    <w:rsid w:val="005D7E36"/>
    <w:rsid w:val="005E0389"/>
    <w:rsid w:val="005E37EF"/>
    <w:rsid w:val="005E3AAF"/>
    <w:rsid w:val="005E3C04"/>
    <w:rsid w:val="005E60BD"/>
    <w:rsid w:val="005E7341"/>
    <w:rsid w:val="005F28DC"/>
    <w:rsid w:val="005F3754"/>
    <w:rsid w:val="005F3811"/>
    <w:rsid w:val="005F5710"/>
    <w:rsid w:val="005F5D0D"/>
    <w:rsid w:val="005F6066"/>
    <w:rsid w:val="005F657D"/>
    <w:rsid w:val="005F6823"/>
    <w:rsid w:val="005F6B3B"/>
    <w:rsid w:val="005F72C1"/>
    <w:rsid w:val="006002C7"/>
    <w:rsid w:val="006009C2"/>
    <w:rsid w:val="0060149E"/>
    <w:rsid w:val="006014DD"/>
    <w:rsid w:val="006015D7"/>
    <w:rsid w:val="006028A9"/>
    <w:rsid w:val="0060353B"/>
    <w:rsid w:val="00604146"/>
    <w:rsid w:val="00604E3A"/>
    <w:rsid w:val="0060512B"/>
    <w:rsid w:val="00607448"/>
    <w:rsid w:val="00607F8D"/>
    <w:rsid w:val="00610D9A"/>
    <w:rsid w:val="00612D7D"/>
    <w:rsid w:val="006152F9"/>
    <w:rsid w:val="006160EB"/>
    <w:rsid w:val="006163A8"/>
    <w:rsid w:val="00616CB9"/>
    <w:rsid w:val="00617736"/>
    <w:rsid w:val="00617E45"/>
    <w:rsid w:val="006203E9"/>
    <w:rsid w:val="00620CBE"/>
    <w:rsid w:val="0062129F"/>
    <w:rsid w:val="00622BF0"/>
    <w:rsid w:val="00623024"/>
    <w:rsid w:val="006230FF"/>
    <w:rsid w:val="0062340F"/>
    <w:rsid w:val="006273E8"/>
    <w:rsid w:val="00627916"/>
    <w:rsid w:val="0063186B"/>
    <w:rsid w:val="0063231D"/>
    <w:rsid w:val="006327DE"/>
    <w:rsid w:val="00632B11"/>
    <w:rsid w:val="00632CBD"/>
    <w:rsid w:val="006334B2"/>
    <w:rsid w:val="006340E6"/>
    <w:rsid w:val="00634C29"/>
    <w:rsid w:val="00634FBD"/>
    <w:rsid w:val="0063504F"/>
    <w:rsid w:val="00635DF6"/>
    <w:rsid w:val="00636325"/>
    <w:rsid w:val="006367F5"/>
    <w:rsid w:val="00636D7A"/>
    <w:rsid w:val="00637F42"/>
    <w:rsid w:val="00640384"/>
    <w:rsid w:val="00640A2C"/>
    <w:rsid w:val="00640D21"/>
    <w:rsid w:val="0064415C"/>
    <w:rsid w:val="00644767"/>
    <w:rsid w:val="0064558C"/>
    <w:rsid w:val="00645A1C"/>
    <w:rsid w:val="0064650E"/>
    <w:rsid w:val="00646C24"/>
    <w:rsid w:val="006478FF"/>
    <w:rsid w:val="00647B87"/>
    <w:rsid w:val="00650279"/>
    <w:rsid w:val="00652613"/>
    <w:rsid w:val="00652790"/>
    <w:rsid w:val="00653F77"/>
    <w:rsid w:val="00654438"/>
    <w:rsid w:val="00654913"/>
    <w:rsid w:val="00655323"/>
    <w:rsid w:val="00655C4B"/>
    <w:rsid w:val="00655E67"/>
    <w:rsid w:val="00656395"/>
    <w:rsid w:val="00656D8C"/>
    <w:rsid w:val="00657DE4"/>
    <w:rsid w:val="006607E4"/>
    <w:rsid w:val="00663D66"/>
    <w:rsid w:val="00666821"/>
    <w:rsid w:val="0066797A"/>
    <w:rsid w:val="00670252"/>
    <w:rsid w:val="00670D31"/>
    <w:rsid w:val="00673801"/>
    <w:rsid w:val="00675418"/>
    <w:rsid w:val="00675695"/>
    <w:rsid w:val="00677AC8"/>
    <w:rsid w:val="00677F7C"/>
    <w:rsid w:val="00680666"/>
    <w:rsid w:val="006821BC"/>
    <w:rsid w:val="006840CB"/>
    <w:rsid w:val="006851BB"/>
    <w:rsid w:val="006860DB"/>
    <w:rsid w:val="00686F61"/>
    <w:rsid w:val="00691174"/>
    <w:rsid w:val="0069290A"/>
    <w:rsid w:val="00693310"/>
    <w:rsid w:val="00693A48"/>
    <w:rsid w:val="00694E87"/>
    <w:rsid w:val="006959BF"/>
    <w:rsid w:val="00695C68"/>
    <w:rsid w:val="00696091"/>
    <w:rsid w:val="0069658C"/>
    <w:rsid w:val="00696C78"/>
    <w:rsid w:val="006A0316"/>
    <w:rsid w:val="006A0A8E"/>
    <w:rsid w:val="006A1285"/>
    <w:rsid w:val="006A1753"/>
    <w:rsid w:val="006A18BD"/>
    <w:rsid w:val="006A210A"/>
    <w:rsid w:val="006A2269"/>
    <w:rsid w:val="006A27F4"/>
    <w:rsid w:val="006A32A4"/>
    <w:rsid w:val="006A3DC8"/>
    <w:rsid w:val="006A4E68"/>
    <w:rsid w:val="006A55B5"/>
    <w:rsid w:val="006A5827"/>
    <w:rsid w:val="006A5ED0"/>
    <w:rsid w:val="006B1BCB"/>
    <w:rsid w:val="006B1EFE"/>
    <w:rsid w:val="006B43D8"/>
    <w:rsid w:val="006B44D3"/>
    <w:rsid w:val="006B5BB0"/>
    <w:rsid w:val="006B658E"/>
    <w:rsid w:val="006B6BAA"/>
    <w:rsid w:val="006B6C31"/>
    <w:rsid w:val="006B70E6"/>
    <w:rsid w:val="006B7C78"/>
    <w:rsid w:val="006B7DB6"/>
    <w:rsid w:val="006B7E3A"/>
    <w:rsid w:val="006C0EB2"/>
    <w:rsid w:val="006C1AD5"/>
    <w:rsid w:val="006C1D82"/>
    <w:rsid w:val="006C27D2"/>
    <w:rsid w:val="006C2C8A"/>
    <w:rsid w:val="006C2D0D"/>
    <w:rsid w:val="006C2E30"/>
    <w:rsid w:val="006C2F1A"/>
    <w:rsid w:val="006C3B46"/>
    <w:rsid w:val="006C5D52"/>
    <w:rsid w:val="006C656C"/>
    <w:rsid w:val="006C7D88"/>
    <w:rsid w:val="006C7EBB"/>
    <w:rsid w:val="006D12CA"/>
    <w:rsid w:val="006D1435"/>
    <w:rsid w:val="006D17F2"/>
    <w:rsid w:val="006D3057"/>
    <w:rsid w:val="006E0FAE"/>
    <w:rsid w:val="006E343E"/>
    <w:rsid w:val="006E4065"/>
    <w:rsid w:val="006E5935"/>
    <w:rsid w:val="006E5B11"/>
    <w:rsid w:val="006E6632"/>
    <w:rsid w:val="006E7BE9"/>
    <w:rsid w:val="006F12D3"/>
    <w:rsid w:val="006F148E"/>
    <w:rsid w:val="006F2701"/>
    <w:rsid w:val="006F2C1A"/>
    <w:rsid w:val="006F48BF"/>
    <w:rsid w:val="006F4B7C"/>
    <w:rsid w:val="006F568C"/>
    <w:rsid w:val="006F5C43"/>
    <w:rsid w:val="006F6CFF"/>
    <w:rsid w:val="006F7144"/>
    <w:rsid w:val="00701499"/>
    <w:rsid w:val="00701C56"/>
    <w:rsid w:val="00702470"/>
    <w:rsid w:val="00703216"/>
    <w:rsid w:val="007038F6"/>
    <w:rsid w:val="00706648"/>
    <w:rsid w:val="00706C30"/>
    <w:rsid w:val="0070708F"/>
    <w:rsid w:val="007070CA"/>
    <w:rsid w:val="007071E4"/>
    <w:rsid w:val="0071062E"/>
    <w:rsid w:val="00710B92"/>
    <w:rsid w:val="00712484"/>
    <w:rsid w:val="0071478B"/>
    <w:rsid w:val="007151F5"/>
    <w:rsid w:val="00716670"/>
    <w:rsid w:val="00717212"/>
    <w:rsid w:val="00720E7C"/>
    <w:rsid w:val="00722C0F"/>
    <w:rsid w:val="007237E0"/>
    <w:rsid w:val="0072568D"/>
    <w:rsid w:val="007277C4"/>
    <w:rsid w:val="007279A4"/>
    <w:rsid w:val="0073078B"/>
    <w:rsid w:val="00732064"/>
    <w:rsid w:val="00734D69"/>
    <w:rsid w:val="00735A76"/>
    <w:rsid w:val="00736465"/>
    <w:rsid w:val="00736DD8"/>
    <w:rsid w:val="00740AAF"/>
    <w:rsid w:val="00740C4B"/>
    <w:rsid w:val="00741471"/>
    <w:rsid w:val="00743244"/>
    <w:rsid w:val="007459BF"/>
    <w:rsid w:val="00745E96"/>
    <w:rsid w:val="0074629F"/>
    <w:rsid w:val="00750BD5"/>
    <w:rsid w:val="00752191"/>
    <w:rsid w:val="00753373"/>
    <w:rsid w:val="007550E2"/>
    <w:rsid w:val="00756D22"/>
    <w:rsid w:val="0076395E"/>
    <w:rsid w:val="00763D67"/>
    <w:rsid w:val="00767BAE"/>
    <w:rsid w:val="00770825"/>
    <w:rsid w:val="00772067"/>
    <w:rsid w:val="00772EB7"/>
    <w:rsid w:val="007732B4"/>
    <w:rsid w:val="00775528"/>
    <w:rsid w:val="00776A7F"/>
    <w:rsid w:val="00776E58"/>
    <w:rsid w:val="0077776A"/>
    <w:rsid w:val="00780A00"/>
    <w:rsid w:val="00781152"/>
    <w:rsid w:val="0078148E"/>
    <w:rsid w:val="00781FA9"/>
    <w:rsid w:val="007822F7"/>
    <w:rsid w:val="00783387"/>
    <w:rsid w:val="00783594"/>
    <w:rsid w:val="0078472B"/>
    <w:rsid w:val="0078477D"/>
    <w:rsid w:val="007865E4"/>
    <w:rsid w:val="00786F19"/>
    <w:rsid w:val="00787077"/>
    <w:rsid w:val="00787E99"/>
    <w:rsid w:val="007900CB"/>
    <w:rsid w:val="00791284"/>
    <w:rsid w:val="007918B5"/>
    <w:rsid w:val="007935B8"/>
    <w:rsid w:val="00795FD1"/>
    <w:rsid w:val="00796CE2"/>
    <w:rsid w:val="007A08DD"/>
    <w:rsid w:val="007A0C06"/>
    <w:rsid w:val="007A0F11"/>
    <w:rsid w:val="007A18EF"/>
    <w:rsid w:val="007A336E"/>
    <w:rsid w:val="007A3805"/>
    <w:rsid w:val="007A3987"/>
    <w:rsid w:val="007A4E9D"/>
    <w:rsid w:val="007A4F4C"/>
    <w:rsid w:val="007A5E10"/>
    <w:rsid w:val="007A6A6D"/>
    <w:rsid w:val="007A6E4D"/>
    <w:rsid w:val="007B2959"/>
    <w:rsid w:val="007B4D48"/>
    <w:rsid w:val="007B5907"/>
    <w:rsid w:val="007B67AA"/>
    <w:rsid w:val="007B7229"/>
    <w:rsid w:val="007C2363"/>
    <w:rsid w:val="007C3863"/>
    <w:rsid w:val="007C5F94"/>
    <w:rsid w:val="007C7857"/>
    <w:rsid w:val="007D1DEF"/>
    <w:rsid w:val="007D493E"/>
    <w:rsid w:val="007D5BFD"/>
    <w:rsid w:val="007D6EEA"/>
    <w:rsid w:val="007E08CE"/>
    <w:rsid w:val="007E0C62"/>
    <w:rsid w:val="007E28F4"/>
    <w:rsid w:val="007E3591"/>
    <w:rsid w:val="007E3A2C"/>
    <w:rsid w:val="007E4723"/>
    <w:rsid w:val="007E55CD"/>
    <w:rsid w:val="007E56B3"/>
    <w:rsid w:val="007E6AB5"/>
    <w:rsid w:val="007E7273"/>
    <w:rsid w:val="007F1991"/>
    <w:rsid w:val="007F1ECF"/>
    <w:rsid w:val="007F2336"/>
    <w:rsid w:val="007F36FF"/>
    <w:rsid w:val="007F45B2"/>
    <w:rsid w:val="007F638F"/>
    <w:rsid w:val="007F66E2"/>
    <w:rsid w:val="007F68EC"/>
    <w:rsid w:val="007F7982"/>
    <w:rsid w:val="007F7E60"/>
    <w:rsid w:val="00800356"/>
    <w:rsid w:val="00800AAD"/>
    <w:rsid w:val="00802348"/>
    <w:rsid w:val="00803C01"/>
    <w:rsid w:val="00803F01"/>
    <w:rsid w:val="008042D9"/>
    <w:rsid w:val="008048BF"/>
    <w:rsid w:val="008051DA"/>
    <w:rsid w:val="0080626D"/>
    <w:rsid w:val="0080729D"/>
    <w:rsid w:val="008076DA"/>
    <w:rsid w:val="008078D9"/>
    <w:rsid w:val="0081328D"/>
    <w:rsid w:val="00814B41"/>
    <w:rsid w:val="0081553A"/>
    <w:rsid w:val="00815902"/>
    <w:rsid w:val="00816B51"/>
    <w:rsid w:val="0081787B"/>
    <w:rsid w:val="008202C7"/>
    <w:rsid w:val="00821D7D"/>
    <w:rsid w:val="008223C8"/>
    <w:rsid w:val="00822D5C"/>
    <w:rsid w:val="0082437F"/>
    <w:rsid w:val="008249F9"/>
    <w:rsid w:val="00824EB3"/>
    <w:rsid w:val="0082643B"/>
    <w:rsid w:val="00826BC9"/>
    <w:rsid w:val="00830308"/>
    <w:rsid w:val="00830662"/>
    <w:rsid w:val="008314A8"/>
    <w:rsid w:val="00832BE1"/>
    <w:rsid w:val="0083375F"/>
    <w:rsid w:val="00841550"/>
    <w:rsid w:val="0084166E"/>
    <w:rsid w:val="00842179"/>
    <w:rsid w:val="00842ECC"/>
    <w:rsid w:val="00843D02"/>
    <w:rsid w:val="00845FE9"/>
    <w:rsid w:val="0085074B"/>
    <w:rsid w:val="00853F75"/>
    <w:rsid w:val="00854B70"/>
    <w:rsid w:val="00854FCB"/>
    <w:rsid w:val="0085638B"/>
    <w:rsid w:val="00857E0A"/>
    <w:rsid w:val="00860958"/>
    <w:rsid w:val="008620F5"/>
    <w:rsid w:val="00863749"/>
    <w:rsid w:val="00863BAF"/>
    <w:rsid w:val="00863D4E"/>
    <w:rsid w:val="008640AF"/>
    <w:rsid w:val="008655AB"/>
    <w:rsid w:val="00865653"/>
    <w:rsid w:val="00866543"/>
    <w:rsid w:val="00870598"/>
    <w:rsid w:val="0087076E"/>
    <w:rsid w:val="00870FC6"/>
    <w:rsid w:val="00871092"/>
    <w:rsid w:val="008736E9"/>
    <w:rsid w:val="008751F8"/>
    <w:rsid w:val="00876FF6"/>
    <w:rsid w:val="00877B5E"/>
    <w:rsid w:val="00880448"/>
    <w:rsid w:val="008817A8"/>
    <w:rsid w:val="00882064"/>
    <w:rsid w:val="00882A98"/>
    <w:rsid w:val="00883DC6"/>
    <w:rsid w:val="00883ECA"/>
    <w:rsid w:val="00883F03"/>
    <w:rsid w:val="008843E5"/>
    <w:rsid w:val="0088463D"/>
    <w:rsid w:val="00884834"/>
    <w:rsid w:val="00884871"/>
    <w:rsid w:val="008848CC"/>
    <w:rsid w:val="00884B52"/>
    <w:rsid w:val="00884DEA"/>
    <w:rsid w:val="0088524E"/>
    <w:rsid w:val="00885C67"/>
    <w:rsid w:val="00885F7B"/>
    <w:rsid w:val="00886D68"/>
    <w:rsid w:val="008870D7"/>
    <w:rsid w:val="0088785E"/>
    <w:rsid w:val="00887E9E"/>
    <w:rsid w:val="00890A7F"/>
    <w:rsid w:val="00892546"/>
    <w:rsid w:val="00894187"/>
    <w:rsid w:val="00894F12"/>
    <w:rsid w:val="008959E1"/>
    <w:rsid w:val="00895C09"/>
    <w:rsid w:val="00895D04"/>
    <w:rsid w:val="008A0365"/>
    <w:rsid w:val="008A093F"/>
    <w:rsid w:val="008A1883"/>
    <w:rsid w:val="008A1B1E"/>
    <w:rsid w:val="008A2810"/>
    <w:rsid w:val="008A5484"/>
    <w:rsid w:val="008A6F46"/>
    <w:rsid w:val="008B0DA5"/>
    <w:rsid w:val="008B44A6"/>
    <w:rsid w:val="008B5878"/>
    <w:rsid w:val="008B5DDE"/>
    <w:rsid w:val="008B7330"/>
    <w:rsid w:val="008C0D24"/>
    <w:rsid w:val="008C0ECB"/>
    <w:rsid w:val="008C2262"/>
    <w:rsid w:val="008C237B"/>
    <w:rsid w:val="008C2639"/>
    <w:rsid w:val="008C2BFA"/>
    <w:rsid w:val="008C486F"/>
    <w:rsid w:val="008C49CD"/>
    <w:rsid w:val="008C6FCA"/>
    <w:rsid w:val="008C6FDC"/>
    <w:rsid w:val="008C797D"/>
    <w:rsid w:val="008D1BF9"/>
    <w:rsid w:val="008D29DB"/>
    <w:rsid w:val="008D36DC"/>
    <w:rsid w:val="008D3F89"/>
    <w:rsid w:val="008D47E5"/>
    <w:rsid w:val="008D4C8A"/>
    <w:rsid w:val="008D6A8A"/>
    <w:rsid w:val="008D704A"/>
    <w:rsid w:val="008D759D"/>
    <w:rsid w:val="008D7B4F"/>
    <w:rsid w:val="008E0188"/>
    <w:rsid w:val="008E0C1E"/>
    <w:rsid w:val="008E5743"/>
    <w:rsid w:val="008E6601"/>
    <w:rsid w:val="008E6DF2"/>
    <w:rsid w:val="008E7CB6"/>
    <w:rsid w:val="008E7E61"/>
    <w:rsid w:val="008F0B59"/>
    <w:rsid w:val="008F0E29"/>
    <w:rsid w:val="008F145E"/>
    <w:rsid w:val="008F1B44"/>
    <w:rsid w:val="008F2576"/>
    <w:rsid w:val="008F327E"/>
    <w:rsid w:val="008F446B"/>
    <w:rsid w:val="008F54E2"/>
    <w:rsid w:val="008F768B"/>
    <w:rsid w:val="00902149"/>
    <w:rsid w:val="00903A82"/>
    <w:rsid w:val="0090646B"/>
    <w:rsid w:val="00906D04"/>
    <w:rsid w:val="00907188"/>
    <w:rsid w:val="00907982"/>
    <w:rsid w:val="00907EA4"/>
    <w:rsid w:val="009105EB"/>
    <w:rsid w:val="009112C8"/>
    <w:rsid w:val="00912D03"/>
    <w:rsid w:val="009139C0"/>
    <w:rsid w:val="00914DD8"/>
    <w:rsid w:val="009152A9"/>
    <w:rsid w:val="00916568"/>
    <w:rsid w:val="009168C9"/>
    <w:rsid w:val="009201DB"/>
    <w:rsid w:val="00920AD6"/>
    <w:rsid w:val="00921DDF"/>
    <w:rsid w:val="009230F0"/>
    <w:rsid w:val="00923823"/>
    <w:rsid w:val="009258BE"/>
    <w:rsid w:val="00925FA0"/>
    <w:rsid w:val="00931217"/>
    <w:rsid w:val="00932599"/>
    <w:rsid w:val="00933745"/>
    <w:rsid w:val="00934AF2"/>
    <w:rsid w:val="00935244"/>
    <w:rsid w:val="00936B49"/>
    <w:rsid w:val="009402F2"/>
    <w:rsid w:val="00940948"/>
    <w:rsid w:val="00941433"/>
    <w:rsid w:val="00941F87"/>
    <w:rsid w:val="00942DF4"/>
    <w:rsid w:val="00942E41"/>
    <w:rsid w:val="0094637C"/>
    <w:rsid w:val="0094699E"/>
    <w:rsid w:val="009479DB"/>
    <w:rsid w:val="00950715"/>
    <w:rsid w:val="00950C79"/>
    <w:rsid w:val="009518AF"/>
    <w:rsid w:val="00951B27"/>
    <w:rsid w:val="00952365"/>
    <w:rsid w:val="0095284B"/>
    <w:rsid w:val="00953404"/>
    <w:rsid w:val="00953618"/>
    <w:rsid w:val="0095470B"/>
    <w:rsid w:val="00954EC5"/>
    <w:rsid w:val="00960346"/>
    <w:rsid w:val="009609BF"/>
    <w:rsid w:val="00960B72"/>
    <w:rsid w:val="00962A9B"/>
    <w:rsid w:val="0096315D"/>
    <w:rsid w:val="00963AC2"/>
    <w:rsid w:val="009648E2"/>
    <w:rsid w:val="009654F4"/>
    <w:rsid w:val="00971774"/>
    <w:rsid w:val="00972A74"/>
    <w:rsid w:val="009738C5"/>
    <w:rsid w:val="00973DBA"/>
    <w:rsid w:val="00975E26"/>
    <w:rsid w:val="009766A0"/>
    <w:rsid w:val="00977C27"/>
    <w:rsid w:val="0098000B"/>
    <w:rsid w:val="0098134D"/>
    <w:rsid w:val="00981A99"/>
    <w:rsid w:val="009835BA"/>
    <w:rsid w:val="00984DC0"/>
    <w:rsid w:val="009857A5"/>
    <w:rsid w:val="00985DAD"/>
    <w:rsid w:val="009877A3"/>
    <w:rsid w:val="0098786B"/>
    <w:rsid w:val="0099154F"/>
    <w:rsid w:val="00992200"/>
    <w:rsid w:val="00992C7B"/>
    <w:rsid w:val="00992DC1"/>
    <w:rsid w:val="009930B5"/>
    <w:rsid w:val="009945FB"/>
    <w:rsid w:val="00995343"/>
    <w:rsid w:val="009A06D8"/>
    <w:rsid w:val="009A3736"/>
    <w:rsid w:val="009A3954"/>
    <w:rsid w:val="009B0740"/>
    <w:rsid w:val="009B16BA"/>
    <w:rsid w:val="009B1C89"/>
    <w:rsid w:val="009B1F2F"/>
    <w:rsid w:val="009B28D7"/>
    <w:rsid w:val="009B30A3"/>
    <w:rsid w:val="009B3917"/>
    <w:rsid w:val="009B4696"/>
    <w:rsid w:val="009B60AC"/>
    <w:rsid w:val="009C021F"/>
    <w:rsid w:val="009C08DE"/>
    <w:rsid w:val="009C0D61"/>
    <w:rsid w:val="009C1307"/>
    <w:rsid w:val="009C1508"/>
    <w:rsid w:val="009C245F"/>
    <w:rsid w:val="009C4529"/>
    <w:rsid w:val="009C5CF8"/>
    <w:rsid w:val="009C6445"/>
    <w:rsid w:val="009C6F90"/>
    <w:rsid w:val="009D0C0C"/>
    <w:rsid w:val="009D1030"/>
    <w:rsid w:val="009D1244"/>
    <w:rsid w:val="009D262D"/>
    <w:rsid w:val="009D3785"/>
    <w:rsid w:val="009D37B0"/>
    <w:rsid w:val="009D4E8E"/>
    <w:rsid w:val="009D5545"/>
    <w:rsid w:val="009D5709"/>
    <w:rsid w:val="009D5B7A"/>
    <w:rsid w:val="009D5F41"/>
    <w:rsid w:val="009D6587"/>
    <w:rsid w:val="009D65E5"/>
    <w:rsid w:val="009D6C0F"/>
    <w:rsid w:val="009D7C30"/>
    <w:rsid w:val="009D7C4B"/>
    <w:rsid w:val="009E15B4"/>
    <w:rsid w:val="009E3157"/>
    <w:rsid w:val="009E3C44"/>
    <w:rsid w:val="009E4A40"/>
    <w:rsid w:val="009E4DD1"/>
    <w:rsid w:val="009E5896"/>
    <w:rsid w:val="009E6C8F"/>
    <w:rsid w:val="009E6D2A"/>
    <w:rsid w:val="009E6E9A"/>
    <w:rsid w:val="009E6F20"/>
    <w:rsid w:val="009E7348"/>
    <w:rsid w:val="009E7754"/>
    <w:rsid w:val="009E7E4F"/>
    <w:rsid w:val="009F0927"/>
    <w:rsid w:val="009F0ACA"/>
    <w:rsid w:val="009F2295"/>
    <w:rsid w:val="009F27CD"/>
    <w:rsid w:val="009F30E0"/>
    <w:rsid w:val="009F39B0"/>
    <w:rsid w:val="009F4D1D"/>
    <w:rsid w:val="009F515E"/>
    <w:rsid w:val="009F5E1B"/>
    <w:rsid w:val="009F6C90"/>
    <w:rsid w:val="009F794B"/>
    <w:rsid w:val="009F7D27"/>
    <w:rsid w:val="009F7F1B"/>
    <w:rsid w:val="00A0034D"/>
    <w:rsid w:val="00A01790"/>
    <w:rsid w:val="00A01BCD"/>
    <w:rsid w:val="00A02010"/>
    <w:rsid w:val="00A02F85"/>
    <w:rsid w:val="00A032F6"/>
    <w:rsid w:val="00A04119"/>
    <w:rsid w:val="00A04B7A"/>
    <w:rsid w:val="00A0531D"/>
    <w:rsid w:val="00A065FF"/>
    <w:rsid w:val="00A06A35"/>
    <w:rsid w:val="00A10B9A"/>
    <w:rsid w:val="00A10C93"/>
    <w:rsid w:val="00A11185"/>
    <w:rsid w:val="00A11AA5"/>
    <w:rsid w:val="00A15302"/>
    <w:rsid w:val="00A15EF1"/>
    <w:rsid w:val="00A16D27"/>
    <w:rsid w:val="00A16D91"/>
    <w:rsid w:val="00A16ED7"/>
    <w:rsid w:val="00A16FC8"/>
    <w:rsid w:val="00A17771"/>
    <w:rsid w:val="00A17F4B"/>
    <w:rsid w:val="00A20C84"/>
    <w:rsid w:val="00A21907"/>
    <w:rsid w:val="00A222D9"/>
    <w:rsid w:val="00A227E3"/>
    <w:rsid w:val="00A2454D"/>
    <w:rsid w:val="00A24D2B"/>
    <w:rsid w:val="00A26CF3"/>
    <w:rsid w:val="00A27C7A"/>
    <w:rsid w:val="00A30BF7"/>
    <w:rsid w:val="00A31096"/>
    <w:rsid w:val="00A31EC9"/>
    <w:rsid w:val="00A345D3"/>
    <w:rsid w:val="00A36A27"/>
    <w:rsid w:val="00A36BFB"/>
    <w:rsid w:val="00A400D9"/>
    <w:rsid w:val="00A4119B"/>
    <w:rsid w:val="00A41AB7"/>
    <w:rsid w:val="00A421CE"/>
    <w:rsid w:val="00A4226D"/>
    <w:rsid w:val="00A4233F"/>
    <w:rsid w:val="00A4251C"/>
    <w:rsid w:val="00A4287E"/>
    <w:rsid w:val="00A430F2"/>
    <w:rsid w:val="00A43309"/>
    <w:rsid w:val="00A44329"/>
    <w:rsid w:val="00A443DC"/>
    <w:rsid w:val="00A44C01"/>
    <w:rsid w:val="00A46272"/>
    <w:rsid w:val="00A46FD1"/>
    <w:rsid w:val="00A47D7C"/>
    <w:rsid w:val="00A513DB"/>
    <w:rsid w:val="00A5176E"/>
    <w:rsid w:val="00A51799"/>
    <w:rsid w:val="00A5327D"/>
    <w:rsid w:val="00A53D22"/>
    <w:rsid w:val="00A54FA9"/>
    <w:rsid w:val="00A569FD"/>
    <w:rsid w:val="00A56A6C"/>
    <w:rsid w:val="00A576BA"/>
    <w:rsid w:val="00A57A89"/>
    <w:rsid w:val="00A57BF4"/>
    <w:rsid w:val="00A57D73"/>
    <w:rsid w:val="00A6121F"/>
    <w:rsid w:val="00A627F8"/>
    <w:rsid w:val="00A6335B"/>
    <w:rsid w:val="00A6347E"/>
    <w:rsid w:val="00A71268"/>
    <w:rsid w:val="00A74912"/>
    <w:rsid w:val="00A749F1"/>
    <w:rsid w:val="00A74A76"/>
    <w:rsid w:val="00A75787"/>
    <w:rsid w:val="00A75ECB"/>
    <w:rsid w:val="00A765D7"/>
    <w:rsid w:val="00A77BF2"/>
    <w:rsid w:val="00A80D32"/>
    <w:rsid w:val="00A822EE"/>
    <w:rsid w:val="00A82568"/>
    <w:rsid w:val="00A825BE"/>
    <w:rsid w:val="00A82A86"/>
    <w:rsid w:val="00A87AA3"/>
    <w:rsid w:val="00A90BE0"/>
    <w:rsid w:val="00A90CD8"/>
    <w:rsid w:val="00A9341C"/>
    <w:rsid w:val="00A940C7"/>
    <w:rsid w:val="00A960E8"/>
    <w:rsid w:val="00AA046C"/>
    <w:rsid w:val="00AA0771"/>
    <w:rsid w:val="00AA1141"/>
    <w:rsid w:val="00AA2CCD"/>
    <w:rsid w:val="00AA2E1C"/>
    <w:rsid w:val="00AA5DDF"/>
    <w:rsid w:val="00AA68F0"/>
    <w:rsid w:val="00AB055B"/>
    <w:rsid w:val="00AB08F5"/>
    <w:rsid w:val="00AB1FBA"/>
    <w:rsid w:val="00AB5DAD"/>
    <w:rsid w:val="00AB6692"/>
    <w:rsid w:val="00AC0B66"/>
    <w:rsid w:val="00AC2C8D"/>
    <w:rsid w:val="00AC3DC7"/>
    <w:rsid w:val="00AC40F4"/>
    <w:rsid w:val="00AC5221"/>
    <w:rsid w:val="00AC5A90"/>
    <w:rsid w:val="00AC658A"/>
    <w:rsid w:val="00AD09B2"/>
    <w:rsid w:val="00AD19F4"/>
    <w:rsid w:val="00AD2438"/>
    <w:rsid w:val="00AD2B78"/>
    <w:rsid w:val="00AD3DF6"/>
    <w:rsid w:val="00AD710B"/>
    <w:rsid w:val="00AD7FF1"/>
    <w:rsid w:val="00AE1026"/>
    <w:rsid w:val="00AE1EC3"/>
    <w:rsid w:val="00AE1F80"/>
    <w:rsid w:val="00AE2BF6"/>
    <w:rsid w:val="00AE456B"/>
    <w:rsid w:val="00AE5AB8"/>
    <w:rsid w:val="00AE5BC6"/>
    <w:rsid w:val="00AE6756"/>
    <w:rsid w:val="00AE6F52"/>
    <w:rsid w:val="00AE71B6"/>
    <w:rsid w:val="00AE78EF"/>
    <w:rsid w:val="00AF21F3"/>
    <w:rsid w:val="00AF220F"/>
    <w:rsid w:val="00AF2975"/>
    <w:rsid w:val="00AF2F09"/>
    <w:rsid w:val="00AF3C5D"/>
    <w:rsid w:val="00AF547D"/>
    <w:rsid w:val="00AF5937"/>
    <w:rsid w:val="00AF5A32"/>
    <w:rsid w:val="00AF6C01"/>
    <w:rsid w:val="00B0289B"/>
    <w:rsid w:val="00B034F5"/>
    <w:rsid w:val="00B065EA"/>
    <w:rsid w:val="00B06652"/>
    <w:rsid w:val="00B06A93"/>
    <w:rsid w:val="00B10F99"/>
    <w:rsid w:val="00B124C1"/>
    <w:rsid w:val="00B1384A"/>
    <w:rsid w:val="00B14BA8"/>
    <w:rsid w:val="00B15C5E"/>
    <w:rsid w:val="00B16059"/>
    <w:rsid w:val="00B1718F"/>
    <w:rsid w:val="00B23353"/>
    <w:rsid w:val="00B302CD"/>
    <w:rsid w:val="00B3054F"/>
    <w:rsid w:val="00B30563"/>
    <w:rsid w:val="00B306F5"/>
    <w:rsid w:val="00B31004"/>
    <w:rsid w:val="00B31234"/>
    <w:rsid w:val="00B329F5"/>
    <w:rsid w:val="00B3387D"/>
    <w:rsid w:val="00B3392B"/>
    <w:rsid w:val="00B33CC7"/>
    <w:rsid w:val="00B3465A"/>
    <w:rsid w:val="00B347C4"/>
    <w:rsid w:val="00B35D81"/>
    <w:rsid w:val="00B362FC"/>
    <w:rsid w:val="00B36A0D"/>
    <w:rsid w:val="00B378B5"/>
    <w:rsid w:val="00B37DA6"/>
    <w:rsid w:val="00B40825"/>
    <w:rsid w:val="00B410CF"/>
    <w:rsid w:val="00B429BB"/>
    <w:rsid w:val="00B42C7F"/>
    <w:rsid w:val="00B42FD6"/>
    <w:rsid w:val="00B431B0"/>
    <w:rsid w:val="00B438AB"/>
    <w:rsid w:val="00B43FFF"/>
    <w:rsid w:val="00B446BB"/>
    <w:rsid w:val="00B45075"/>
    <w:rsid w:val="00B47DF3"/>
    <w:rsid w:val="00B53713"/>
    <w:rsid w:val="00B53C94"/>
    <w:rsid w:val="00B541C6"/>
    <w:rsid w:val="00B5502C"/>
    <w:rsid w:val="00B5512F"/>
    <w:rsid w:val="00B55F73"/>
    <w:rsid w:val="00B5727E"/>
    <w:rsid w:val="00B57A8B"/>
    <w:rsid w:val="00B57DEE"/>
    <w:rsid w:val="00B63EE3"/>
    <w:rsid w:val="00B65222"/>
    <w:rsid w:val="00B6647C"/>
    <w:rsid w:val="00B67EBD"/>
    <w:rsid w:val="00B70581"/>
    <w:rsid w:val="00B72DB1"/>
    <w:rsid w:val="00B72F16"/>
    <w:rsid w:val="00B73065"/>
    <w:rsid w:val="00B73203"/>
    <w:rsid w:val="00B7323A"/>
    <w:rsid w:val="00B747E2"/>
    <w:rsid w:val="00B74F15"/>
    <w:rsid w:val="00B756CF"/>
    <w:rsid w:val="00B75731"/>
    <w:rsid w:val="00B75B71"/>
    <w:rsid w:val="00B77264"/>
    <w:rsid w:val="00B80189"/>
    <w:rsid w:val="00B801E3"/>
    <w:rsid w:val="00B805A1"/>
    <w:rsid w:val="00B81BC7"/>
    <w:rsid w:val="00B823CC"/>
    <w:rsid w:val="00B82EBB"/>
    <w:rsid w:val="00B859AD"/>
    <w:rsid w:val="00B85ED4"/>
    <w:rsid w:val="00B8604D"/>
    <w:rsid w:val="00B90205"/>
    <w:rsid w:val="00B91AB5"/>
    <w:rsid w:val="00B961B8"/>
    <w:rsid w:val="00B96465"/>
    <w:rsid w:val="00BA0169"/>
    <w:rsid w:val="00BA073C"/>
    <w:rsid w:val="00BA1948"/>
    <w:rsid w:val="00BA27B8"/>
    <w:rsid w:val="00BA2D8D"/>
    <w:rsid w:val="00BA2E09"/>
    <w:rsid w:val="00BA3667"/>
    <w:rsid w:val="00BA4E9E"/>
    <w:rsid w:val="00BA5AA3"/>
    <w:rsid w:val="00BA68E7"/>
    <w:rsid w:val="00BA6EFF"/>
    <w:rsid w:val="00BA75EE"/>
    <w:rsid w:val="00BB17BB"/>
    <w:rsid w:val="00BB2EFF"/>
    <w:rsid w:val="00BB5950"/>
    <w:rsid w:val="00BB6B7D"/>
    <w:rsid w:val="00BB7872"/>
    <w:rsid w:val="00BC0BF7"/>
    <w:rsid w:val="00BC1342"/>
    <w:rsid w:val="00BC1629"/>
    <w:rsid w:val="00BC20E6"/>
    <w:rsid w:val="00BC4B1D"/>
    <w:rsid w:val="00BC4CF8"/>
    <w:rsid w:val="00BC5BAA"/>
    <w:rsid w:val="00BC6308"/>
    <w:rsid w:val="00BC7379"/>
    <w:rsid w:val="00BD1700"/>
    <w:rsid w:val="00BD19C9"/>
    <w:rsid w:val="00BD21BA"/>
    <w:rsid w:val="00BD2CEB"/>
    <w:rsid w:val="00BD49BB"/>
    <w:rsid w:val="00BD5F0F"/>
    <w:rsid w:val="00BD646A"/>
    <w:rsid w:val="00BD6859"/>
    <w:rsid w:val="00BE0D7C"/>
    <w:rsid w:val="00BE0DEA"/>
    <w:rsid w:val="00BE0E2B"/>
    <w:rsid w:val="00BE1319"/>
    <w:rsid w:val="00BE24B4"/>
    <w:rsid w:val="00BE2F9B"/>
    <w:rsid w:val="00BE5177"/>
    <w:rsid w:val="00BE6790"/>
    <w:rsid w:val="00BE6C72"/>
    <w:rsid w:val="00BE6FEE"/>
    <w:rsid w:val="00BE7B8D"/>
    <w:rsid w:val="00BF08A4"/>
    <w:rsid w:val="00BF1340"/>
    <w:rsid w:val="00BF1BFB"/>
    <w:rsid w:val="00BF3767"/>
    <w:rsid w:val="00BF38A2"/>
    <w:rsid w:val="00BF7019"/>
    <w:rsid w:val="00BF72A0"/>
    <w:rsid w:val="00BF7DE4"/>
    <w:rsid w:val="00C023A5"/>
    <w:rsid w:val="00C032AC"/>
    <w:rsid w:val="00C03384"/>
    <w:rsid w:val="00C043DA"/>
    <w:rsid w:val="00C05067"/>
    <w:rsid w:val="00C05C2C"/>
    <w:rsid w:val="00C07A5E"/>
    <w:rsid w:val="00C07CF8"/>
    <w:rsid w:val="00C113B5"/>
    <w:rsid w:val="00C13F99"/>
    <w:rsid w:val="00C14430"/>
    <w:rsid w:val="00C16137"/>
    <w:rsid w:val="00C171CE"/>
    <w:rsid w:val="00C20732"/>
    <w:rsid w:val="00C207E5"/>
    <w:rsid w:val="00C20C8A"/>
    <w:rsid w:val="00C22132"/>
    <w:rsid w:val="00C223E1"/>
    <w:rsid w:val="00C22B8E"/>
    <w:rsid w:val="00C2390E"/>
    <w:rsid w:val="00C23C2C"/>
    <w:rsid w:val="00C242C9"/>
    <w:rsid w:val="00C24F48"/>
    <w:rsid w:val="00C25540"/>
    <w:rsid w:val="00C26369"/>
    <w:rsid w:val="00C27767"/>
    <w:rsid w:val="00C32357"/>
    <w:rsid w:val="00C3294C"/>
    <w:rsid w:val="00C32A6C"/>
    <w:rsid w:val="00C333A2"/>
    <w:rsid w:val="00C3353D"/>
    <w:rsid w:val="00C33AB4"/>
    <w:rsid w:val="00C3424B"/>
    <w:rsid w:val="00C344AF"/>
    <w:rsid w:val="00C35544"/>
    <w:rsid w:val="00C359F3"/>
    <w:rsid w:val="00C362ED"/>
    <w:rsid w:val="00C36C64"/>
    <w:rsid w:val="00C37FE0"/>
    <w:rsid w:val="00C40F69"/>
    <w:rsid w:val="00C41016"/>
    <w:rsid w:val="00C41277"/>
    <w:rsid w:val="00C42878"/>
    <w:rsid w:val="00C42DC4"/>
    <w:rsid w:val="00C470C0"/>
    <w:rsid w:val="00C50524"/>
    <w:rsid w:val="00C5052C"/>
    <w:rsid w:val="00C508AB"/>
    <w:rsid w:val="00C50E4F"/>
    <w:rsid w:val="00C518F2"/>
    <w:rsid w:val="00C53014"/>
    <w:rsid w:val="00C53A91"/>
    <w:rsid w:val="00C55AF3"/>
    <w:rsid w:val="00C5642D"/>
    <w:rsid w:val="00C571E5"/>
    <w:rsid w:val="00C60737"/>
    <w:rsid w:val="00C60BB3"/>
    <w:rsid w:val="00C61CCF"/>
    <w:rsid w:val="00C61F80"/>
    <w:rsid w:val="00C63C90"/>
    <w:rsid w:val="00C65390"/>
    <w:rsid w:val="00C65541"/>
    <w:rsid w:val="00C65D1A"/>
    <w:rsid w:val="00C672EB"/>
    <w:rsid w:val="00C67512"/>
    <w:rsid w:val="00C67E20"/>
    <w:rsid w:val="00C70C06"/>
    <w:rsid w:val="00C70CA7"/>
    <w:rsid w:val="00C71984"/>
    <w:rsid w:val="00C7317B"/>
    <w:rsid w:val="00C73E8E"/>
    <w:rsid w:val="00C74256"/>
    <w:rsid w:val="00C75B87"/>
    <w:rsid w:val="00C77937"/>
    <w:rsid w:val="00C77D6A"/>
    <w:rsid w:val="00C81511"/>
    <w:rsid w:val="00C8287A"/>
    <w:rsid w:val="00C834B0"/>
    <w:rsid w:val="00C83C31"/>
    <w:rsid w:val="00C84E98"/>
    <w:rsid w:val="00C85780"/>
    <w:rsid w:val="00C865DC"/>
    <w:rsid w:val="00C8737F"/>
    <w:rsid w:val="00C877C9"/>
    <w:rsid w:val="00C87CD3"/>
    <w:rsid w:val="00C87D5F"/>
    <w:rsid w:val="00C90942"/>
    <w:rsid w:val="00C91E7E"/>
    <w:rsid w:val="00C9451F"/>
    <w:rsid w:val="00C952B1"/>
    <w:rsid w:val="00C95C98"/>
    <w:rsid w:val="00C96FEA"/>
    <w:rsid w:val="00C97102"/>
    <w:rsid w:val="00C972DA"/>
    <w:rsid w:val="00CA1B01"/>
    <w:rsid w:val="00CA28E3"/>
    <w:rsid w:val="00CA2B01"/>
    <w:rsid w:val="00CA3962"/>
    <w:rsid w:val="00CA3D30"/>
    <w:rsid w:val="00CA3EF3"/>
    <w:rsid w:val="00CA55AA"/>
    <w:rsid w:val="00CB2354"/>
    <w:rsid w:val="00CB6343"/>
    <w:rsid w:val="00CB6373"/>
    <w:rsid w:val="00CB6775"/>
    <w:rsid w:val="00CC0F1C"/>
    <w:rsid w:val="00CC226E"/>
    <w:rsid w:val="00CC2666"/>
    <w:rsid w:val="00CC2957"/>
    <w:rsid w:val="00CC29A5"/>
    <w:rsid w:val="00CC34B7"/>
    <w:rsid w:val="00CC3533"/>
    <w:rsid w:val="00CC5231"/>
    <w:rsid w:val="00CC52BC"/>
    <w:rsid w:val="00CC5E3D"/>
    <w:rsid w:val="00CC68AC"/>
    <w:rsid w:val="00CC6FED"/>
    <w:rsid w:val="00CC7C2F"/>
    <w:rsid w:val="00CD0364"/>
    <w:rsid w:val="00CD19C7"/>
    <w:rsid w:val="00CD1F7D"/>
    <w:rsid w:val="00CD3789"/>
    <w:rsid w:val="00CD61F2"/>
    <w:rsid w:val="00CD6628"/>
    <w:rsid w:val="00CD6992"/>
    <w:rsid w:val="00CE02A8"/>
    <w:rsid w:val="00CE3ACF"/>
    <w:rsid w:val="00CE3BDF"/>
    <w:rsid w:val="00CE41B4"/>
    <w:rsid w:val="00CE4BB9"/>
    <w:rsid w:val="00CE58FF"/>
    <w:rsid w:val="00CE64F3"/>
    <w:rsid w:val="00CE66A6"/>
    <w:rsid w:val="00CF002B"/>
    <w:rsid w:val="00CF0E31"/>
    <w:rsid w:val="00CF2D97"/>
    <w:rsid w:val="00CF379E"/>
    <w:rsid w:val="00CF4254"/>
    <w:rsid w:val="00CF476D"/>
    <w:rsid w:val="00CF5022"/>
    <w:rsid w:val="00CF5E36"/>
    <w:rsid w:val="00CF7EEB"/>
    <w:rsid w:val="00D00EF7"/>
    <w:rsid w:val="00D018D7"/>
    <w:rsid w:val="00D031A8"/>
    <w:rsid w:val="00D03826"/>
    <w:rsid w:val="00D04A36"/>
    <w:rsid w:val="00D059D7"/>
    <w:rsid w:val="00D06239"/>
    <w:rsid w:val="00D06E08"/>
    <w:rsid w:val="00D129D4"/>
    <w:rsid w:val="00D12BD7"/>
    <w:rsid w:val="00D13394"/>
    <w:rsid w:val="00D133D7"/>
    <w:rsid w:val="00D15A64"/>
    <w:rsid w:val="00D20560"/>
    <w:rsid w:val="00D20585"/>
    <w:rsid w:val="00D217EF"/>
    <w:rsid w:val="00D21A2B"/>
    <w:rsid w:val="00D2349E"/>
    <w:rsid w:val="00D25DFD"/>
    <w:rsid w:val="00D26417"/>
    <w:rsid w:val="00D26C03"/>
    <w:rsid w:val="00D27B5D"/>
    <w:rsid w:val="00D303B2"/>
    <w:rsid w:val="00D30841"/>
    <w:rsid w:val="00D309EB"/>
    <w:rsid w:val="00D32A04"/>
    <w:rsid w:val="00D33C8C"/>
    <w:rsid w:val="00D34484"/>
    <w:rsid w:val="00D36F36"/>
    <w:rsid w:val="00D4241E"/>
    <w:rsid w:val="00D4444A"/>
    <w:rsid w:val="00D447F4"/>
    <w:rsid w:val="00D477B3"/>
    <w:rsid w:val="00D5267B"/>
    <w:rsid w:val="00D52A6C"/>
    <w:rsid w:val="00D52F5C"/>
    <w:rsid w:val="00D53250"/>
    <w:rsid w:val="00D5478D"/>
    <w:rsid w:val="00D54BDA"/>
    <w:rsid w:val="00D551DC"/>
    <w:rsid w:val="00D56758"/>
    <w:rsid w:val="00D606D5"/>
    <w:rsid w:val="00D61279"/>
    <w:rsid w:val="00D617FA"/>
    <w:rsid w:val="00D62046"/>
    <w:rsid w:val="00D655C6"/>
    <w:rsid w:val="00D66B9C"/>
    <w:rsid w:val="00D70546"/>
    <w:rsid w:val="00D7164C"/>
    <w:rsid w:val="00D71E50"/>
    <w:rsid w:val="00D73610"/>
    <w:rsid w:val="00D7413A"/>
    <w:rsid w:val="00D75DCC"/>
    <w:rsid w:val="00D7720E"/>
    <w:rsid w:val="00D77742"/>
    <w:rsid w:val="00D824DD"/>
    <w:rsid w:val="00D83037"/>
    <w:rsid w:val="00D837BA"/>
    <w:rsid w:val="00D85151"/>
    <w:rsid w:val="00D8580C"/>
    <w:rsid w:val="00D86AFB"/>
    <w:rsid w:val="00D86B15"/>
    <w:rsid w:val="00D87396"/>
    <w:rsid w:val="00D91868"/>
    <w:rsid w:val="00D91D8A"/>
    <w:rsid w:val="00D92992"/>
    <w:rsid w:val="00D94FDD"/>
    <w:rsid w:val="00D9518D"/>
    <w:rsid w:val="00D952FB"/>
    <w:rsid w:val="00D955E5"/>
    <w:rsid w:val="00D95880"/>
    <w:rsid w:val="00D95BF8"/>
    <w:rsid w:val="00D962A1"/>
    <w:rsid w:val="00D9694B"/>
    <w:rsid w:val="00DA0B80"/>
    <w:rsid w:val="00DA0F05"/>
    <w:rsid w:val="00DA1EC8"/>
    <w:rsid w:val="00DA25F2"/>
    <w:rsid w:val="00DA4215"/>
    <w:rsid w:val="00DA440F"/>
    <w:rsid w:val="00DA5EAC"/>
    <w:rsid w:val="00DA6509"/>
    <w:rsid w:val="00DA66F9"/>
    <w:rsid w:val="00DA75C9"/>
    <w:rsid w:val="00DB084D"/>
    <w:rsid w:val="00DB211C"/>
    <w:rsid w:val="00DB3DE8"/>
    <w:rsid w:val="00DB40E0"/>
    <w:rsid w:val="00DB7392"/>
    <w:rsid w:val="00DC0E37"/>
    <w:rsid w:val="00DC16FB"/>
    <w:rsid w:val="00DC490E"/>
    <w:rsid w:val="00DC585F"/>
    <w:rsid w:val="00DC625D"/>
    <w:rsid w:val="00DC7295"/>
    <w:rsid w:val="00DD16E5"/>
    <w:rsid w:val="00DD26C5"/>
    <w:rsid w:val="00DD2D08"/>
    <w:rsid w:val="00DD31B0"/>
    <w:rsid w:val="00DD3350"/>
    <w:rsid w:val="00DD4F22"/>
    <w:rsid w:val="00DD727F"/>
    <w:rsid w:val="00DD79F2"/>
    <w:rsid w:val="00DE2E6E"/>
    <w:rsid w:val="00DE30BF"/>
    <w:rsid w:val="00DE3964"/>
    <w:rsid w:val="00DE5F6C"/>
    <w:rsid w:val="00DE6202"/>
    <w:rsid w:val="00DE6335"/>
    <w:rsid w:val="00DE6AD8"/>
    <w:rsid w:val="00DE7902"/>
    <w:rsid w:val="00DE7C91"/>
    <w:rsid w:val="00DF1290"/>
    <w:rsid w:val="00DF1D5C"/>
    <w:rsid w:val="00DF3A65"/>
    <w:rsid w:val="00DF4634"/>
    <w:rsid w:val="00DF564F"/>
    <w:rsid w:val="00E002AE"/>
    <w:rsid w:val="00E02E78"/>
    <w:rsid w:val="00E032D4"/>
    <w:rsid w:val="00E04005"/>
    <w:rsid w:val="00E04033"/>
    <w:rsid w:val="00E04654"/>
    <w:rsid w:val="00E04FC4"/>
    <w:rsid w:val="00E05144"/>
    <w:rsid w:val="00E056A7"/>
    <w:rsid w:val="00E06DA0"/>
    <w:rsid w:val="00E10C2A"/>
    <w:rsid w:val="00E117CD"/>
    <w:rsid w:val="00E11A34"/>
    <w:rsid w:val="00E12636"/>
    <w:rsid w:val="00E126BE"/>
    <w:rsid w:val="00E13435"/>
    <w:rsid w:val="00E15481"/>
    <w:rsid w:val="00E15809"/>
    <w:rsid w:val="00E15CBB"/>
    <w:rsid w:val="00E16FA7"/>
    <w:rsid w:val="00E17CE4"/>
    <w:rsid w:val="00E211DB"/>
    <w:rsid w:val="00E2206C"/>
    <w:rsid w:val="00E22209"/>
    <w:rsid w:val="00E22A00"/>
    <w:rsid w:val="00E23CB0"/>
    <w:rsid w:val="00E23D72"/>
    <w:rsid w:val="00E23EB8"/>
    <w:rsid w:val="00E25068"/>
    <w:rsid w:val="00E2555B"/>
    <w:rsid w:val="00E25B8E"/>
    <w:rsid w:val="00E26058"/>
    <w:rsid w:val="00E2663C"/>
    <w:rsid w:val="00E3357B"/>
    <w:rsid w:val="00E335DB"/>
    <w:rsid w:val="00E33DE7"/>
    <w:rsid w:val="00E348D0"/>
    <w:rsid w:val="00E34E1C"/>
    <w:rsid w:val="00E359AA"/>
    <w:rsid w:val="00E372A1"/>
    <w:rsid w:val="00E3788F"/>
    <w:rsid w:val="00E37F3F"/>
    <w:rsid w:val="00E405D9"/>
    <w:rsid w:val="00E406BD"/>
    <w:rsid w:val="00E41943"/>
    <w:rsid w:val="00E420D0"/>
    <w:rsid w:val="00E426EA"/>
    <w:rsid w:val="00E4381C"/>
    <w:rsid w:val="00E43933"/>
    <w:rsid w:val="00E44146"/>
    <w:rsid w:val="00E44E11"/>
    <w:rsid w:val="00E46B55"/>
    <w:rsid w:val="00E4707F"/>
    <w:rsid w:val="00E4753F"/>
    <w:rsid w:val="00E51FE2"/>
    <w:rsid w:val="00E52F33"/>
    <w:rsid w:val="00E53F28"/>
    <w:rsid w:val="00E54735"/>
    <w:rsid w:val="00E54739"/>
    <w:rsid w:val="00E55120"/>
    <w:rsid w:val="00E6104B"/>
    <w:rsid w:val="00E6392F"/>
    <w:rsid w:val="00E64455"/>
    <w:rsid w:val="00E660CE"/>
    <w:rsid w:val="00E6615F"/>
    <w:rsid w:val="00E662E0"/>
    <w:rsid w:val="00E6678D"/>
    <w:rsid w:val="00E67167"/>
    <w:rsid w:val="00E6776B"/>
    <w:rsid w:val="00E679CB"/>
    <w:rsid w:val="00E70C2C"/>
    <w:rsid w:val="00E70D3E"/>
    <w:rsid w:val="00E70F41"/>
    <w:rsid w:val="00E71ECE"/>
    <w:rsid w:val="00E74195"/>
    <w:rsid w:val="00E74589"/>
    <w:rsid w:val="00E74CE1"/>
    <w:rsid w:val="00E752CC"/>
    <w:rsid w:val="00E75BB7"/>
    <w:rsid w:val="00E77A62"/>
    <w:rsid w:val="00E81974"/>
    <w:rsid w:val="00E836D8"/>
    <w:rsid w:val="00E840E5"/>
    <w:rsid w:val="00E85353"/>
    <w:rsid w:val="00E858F0"/>
    <w:rsid w:val="00E85E1D"/>
    <w:rsid w:val="00E86580"/>
    <w:rsid w:val="00E87B25"/>
    <w:rsid w:val="00E90274"/>
    <w:rsid w:val="00E91A6D"/>
    <w:rsid w:val="00E92031"/>
    <w:rsid w:val="00E93AFE"/>
    <w:rsid w:val="00E96C65"/>
    <w:rsid w:val="00E97964"/>
    <w:rsid w:val="00EA157D"/>
    <w:rsid w:val="00EA1873"/>
    <w:rsid w:val="00EA2407"/>
    <w:rsid w:val="00EA277C"/>
    <w:rsid w:val="00EA2968"/>
    <w:rsid w:val="00EA3B28"/>
    <w:rsid w:val="00EA4134"/>
    <w:rsid w:val="00EA498D"/>
    <w:rsid w:val="00EA4F90"/>
    <w:rsid w:val="00EA5214"/>
    <w:rsid w:val="00EA6EFC"/>
    <w:rsid w:val="00EA738A"/>
    <w:rsid w:val="00EA76DC"/>
    <w:rsid w:val="00EB0317"/>
    <w:rsid w:val="00EB085F"/>
    <w:rsid w:val="00EB0FA8"/>
    <w:rsid w:val="00EB1190"/>
    <w:rsid w:val="00EB1A49"/>
    <w:rsid w:val="00EB239A"/>
    <w:rsid w:val="00EB2490"/>
    <w:rsid w:val="00EB35FE"/>
    <w:rsid w:val="00EB6192"/>
    <w:rsid w:val="00EB69A4"/>
    <w:rsid w:val="00EB701F"/>
    <w:rsid w:val="00EB7778"/>
    <w:rsid w:val="00EB7CD8"/>
    <w:rsid w:val="00EC120A"/>
    <w:rsid w:val="00EC170B"/>
    <w:rsid w:val="00EC45DF"/>
    <w:rsid w:val="00EC4FCF"/>
    <w:rsid w:val="00EC5432"/>
    <w:rsid w:val="00EC7410"/>
    <w:rsid w:val="00EC79BA"/>
    <w:rsid w:val="00ED17D7"/>
    <w:rsid w:val="00ED263E"/>
    <w:rsid w:val="00ED279E"/>
    <w:rsid w:val="00ED322A"/>
    <w:rsid w:val="00ED3458"/>
    <w:rsid w:val="00ED3501"/>
    <w:rsid w:val="00ED4238"/>
    <w:rsid w:val="00ED42F0"/>
    <w:rsid w:val="00ED46CF"/>
    <w:rsid w:val="00ED51E5"/>
    <w:rsid w:val="00ED5B75"/>
    <w:rsid w:val="00ED6138"/>
    <w:rsid w:val="00ED6C6D"/>
    <w:rsid w:val="00ED6D14"/>
    <w:rsid w:val="00ED7211"/>
    <w:rsid w:val="00ED7BFF"/>
    <w:rsid w:val="00ED7C2B"/>
    <w:rsid w:val="00EE04AD"/>
    <w:rsid w:val="00EE5154"/>
    <w:rsid w:val="00EE6286"/>
    <w:rsid w:val="00EE6C4A"/>
    <w:rsid w:val="00EF1CFE"/>
    <w:rsid w:val="00EF1E32"/>
    <w:rsid w:val="00EF2A8C"/>
    <w:rsid w:val="00EF39A1"/>
    <w:rsid w:val="00EF40DD"/>
    <w:rsid w:val="00EF62E6"/>
    <w:rsid w:val="00EF72BB"/>
    <w:rsid w:val="00F01054"/>
    <w:rsid w:val="00F01A6E"/>
    <w:rsid w:val="00F0232B"/>
    <w:rsid w:val="00F024A8"/>
    <w:rsid w:val="00F030CD"/>
    <w:rsid w:val="00F04B5E"/>
    <w:rsid w:val="00F061A8"/>
    <w:rsid w:val="00F06257"/>
    <w:rsid w:val="00F0657F"/>
    <w:rsid w:val="00F06A8B"/>
    <w:rsid w:val="00F071D6"/>
    <w:rsid w:val="00F1235D"/>
    <w:rsid w:val="00F12B4B"/>
    <w:rsid w:val="00F13C28"/>
    <w:rsid w:val="00F13DB1"/>
    <w:rsid w:val="00F14195"/>
    <w:rsid w:val="00F141F7"/>
    <w:rsid w:val="00F14731"/>
    <w:rsid w:val="00F16E04"/>
    <w:rsid w:val="00F17115"/>
    <w:rsid w:val="00F17233"/>
    <w:rsid w:val="00F2150D"/>
    <w:rsid w:val="00F22A24"/>
    <w:rsid w:val="00F22E73"/>
    <w:rsid w:val="00F23C67"/>
    <w:rsid w:val="00F24142"/>
    <w:rsid w:val="00F24E0E"/>
    <w:rsid w:val="00F2684B"/>
    <w:rsid w:val="00F27252"/>
    <w:rsid w:val="00F302DC"/>
    <w:rsid w:val="00F307E5"/>
    <w:rsid w:val="00F331CF"/>
    <w:rsid w:val="00F334AE"/>
    <w:rsid w:val="00F3393E"/>
    <w:rsid w:val="00F36683"/>
    <w:rsid w:val="00F36B50"/>
    <w:rsid w:val="00F40EBF"/>
    <w:rsid w:val="00F40ED6"/>
    <w:rsid w:val="00F4196B"/>
    <w:rsid w:val="00F4301F"/>
    <w:rsid w:val="00F43EA9"/>
    <w:rsid w:val="00F440FF"/>
    <w:rsid w:val="00F44E92"/>
    <w:rsid w:val="00F46477"/>
    <w:rsid w:val="00F46997"/>
    <w:rsid w:val="00F47B9D"/>
    <w:rsid w:val="00F506B5"/>
    <w:rsid w:val="00F517DB"/>
    <w:rsid w:val="00F52BE8"/>
    <w:rsid w:val="00F52EC7"/>
    <w:rsid w:val="00F546CD"/>
    <w:rsid w:val="00F55389"/>
    <w:rsid w:val="00F5547B"/>
    <w:rsid w:val="00F562B6"/>
    <w:rsid w:val="00F60109"/>
    <w:rsid w:val="00F60AD7"/>
    <w:rsid w:val="00F60DA4"/>
    <w:rsid w:val="00F613DC"/>
    <w:rsid w:val="00F63080"/>
    <w:rsid w:val="00F641ED"/>
    <w:rsid w:val="00F64A84"/>
    <w:rsid w:val="00F65F1F"/>
    <w:rsid w:val="00F6601C"/>
    <w:rsid w:val="00F6694C"/>
    <w:rsid w:val="00F7321B"/>
    <w:rsid w:val="00F73386"/>
    <w:rsid w:val="00F7621C"/>
    <w:rsid w:val="00F76CD6"/>
    <w:rsid w:val="00F77FD0"/>
    <w:rsid w:val="00F8020E"/>
    <w:rsid w:val="00F80B9D"/>
    <w:rsid w:val="00F80D23"/>
    <w:rsid w:val="00F81145"/>
    <w:rsid w:val="00F8289A"/>
    <w:rsid w:val="00F82931"/>
    <w:rsid w:val="00F83685"/>
    <w:rsid w:val="00F83968"/>
    <w:rsid w:val="00F83F04"/>
    <w:rsid w:val="00F83F55"/>
    <w:rsid w:val="00F848C5"/>
    <w:rsid w:val="00F84E3B"/>
    <w:rsid w:val="00F85F4B"/>
    <w:rsid w:val="00F86890"/>
    <w:rsid w:val="00F877DD"/>
    <w:rsid w:val="00F900F1"/>
    <w:rsid w:val="00F90395"/>
    <w:rsid w:val="00F90410"/>
    <w:rsid w:val="00F91BCC"/>
    <w:rsid w:val="00F95318"/>
    <w:rsid w:val="00F95BE9"/>
    <w:rsid w:val="00F97AA3"/>
    <w:rsid w:val="00FA1EA9"/>
    <w:rsid w:val="00FA48B0"/>
    <w:rsid w:val="00FA6C1A"/>
    <w:rsid w:val="00FA6F12"/>
    <w:rsid w:val="00FA76FA"/>
    <w:rsid w:val="00FB164F"/>
    <w:rsid w:val="00FB2ADE"/>
    <w:rsid w:val="00FB3878"/>
    <w:rsid w:val="00FB4A61"/>
    <w:rsid w:val="00FB56B7"/>
    <w:rsid w:val="00FB5F94"/>
    <w:rsid w:val="00FB60A8"/>
    <w:rsid w:val="00FB62FA"/>
    <w:rsid w:val="00FB68F9"/>
    <w:rsid w:val="00FB721F"/>
    <w:rsid w:val="00FB7F4F"/>
    <w:rsid w:val="00FC0781"/>
    <w:rsid w:val="00FC0E16"/>
    <w:rsid w:val="00FC1055"/>
    <w:rsid w:val="00FC397E"/>
    <w:rsid w:val="00FC4447"/>
    <w:rsid w:val="00FC4DB1"/>
    <w:rsid w:val="00FC6268"/>
    <w:rsid w:val="00FC771F"/>
    <w:rsid w:val="00FC7E80"/>
    <w:rsid w:val="00FD1352"/>
    <w:rsid w:val="00FD1817"/>
    <w:rsid w:val="00FD1D62"/>
    <w:rsid w:val="00FD44D5"/>
    <w:rsid w:val="00FD460A"/>
    <w:rsid w:val="00FD508F"/>
    <w:rsid w:val="00FD50C3"/>
    <w:rsid w:val="00FD7A5B"/>
    <w:rsid w:val="00FE0453"/>
    <w:rsid w:val="00FE04B9"/>
    <w:rsid w:val="00FE3381"/>
    <w:rsid w:val="00FE372A"/>
    <w:rsid w:val="00FE3E53"/>
    <w:rsid w:val="00FE497B"/>
    <w:rsid w:val="00FE4D96"/>
    <w:rsid w:val="00FE5496"/>
    <w:rsid w:val="00FE5955"/>
    <w:rsid w:val="00FE7700"/>
    <w:rsid w:val="00FE79D1"/>
    <w:rsid w:val="00FF1256"/>
    <w:rsid w:val="00FF183E"/>
    <w:rsid w:val="00FF285A"/>
    <w:rsid w:val="00FF3F21"/>
    <w:rsid w:val="00FF48AF"/>
    <w:rsid w:val="00FF51E0"/>
    <w:rsid w:val="00FF552A"/>
    <w:rsid w:val="00FF710B"/>
    <w:rsid w:val="0114077A"/>
    <w:rsid w:val="011B2B25"/>
    <w:rsid w:val="01221604"/>
    <w:rsid w:val="01430F3B"/>
    <w:rsid w:val="014B7BE9"/>
    <w:rsid w:val="01653DD4"/>
    <w:rsid w:val="01763449"/>
    <w:rsid w:val="01D03AC8"/>
    <w:rsid w:val="01DB11FF"/>
    <w:rsid w:val="01EA7BF4"/>
    <w:rsid w:val="02607B81"/>
    <w:rsid w:val="02686640"/>
    <w:rsid w:val="02AB7D13"/>
    <w:rsid w:val="035D1ED8"/>
    <w:rsid w:val="042940B9"/>
    <w:rsid w:val="04E61F1D"/>
    <w:rsid w:val="04EE1217"/>
    <w:rsid w:val="04F17DDF"/>
    <w:rsid w:val="050C59FC"/>
    <w:rsid w:val="057C1463"/>
    <w:rsid w:val="05AF165C"/>
    <w:rsid w:val="05D53410"/>
    <w:rsid w:val="05F81CA7"/>
    <w:rsid w:val="06160B86"/>
    <w:rsid w:val="06277090"/>
    <w:rsid w:val="063E7460"/>
    <w:rsid w:val="06966DB7"/>
    <w:rsid w:val="06C1634C"/>
    <w:rsid w:val="0728491D"/>
    <w:rsid w:val="07542976"/>
    <w:rsid w:val="076968AA"/>
    <w:rsid w:val="07750C87"/>
    <w:rsid w:val="077A128B"/>
    <w:rsid w:val="0785153D"/>
    <w:rsid w:val="094366E2"/>
    <w:rsid w:val="094C2A72"/>
    <w:rsid w:val="09640B33"/>
    <w:rsid w:val="0A344656"/>
    <w:rsid w:val="0A4C6B04"/>
    <w:rsid w:val="0AA86372"/>
    <w:rsid w:val="0B0145B4"/>
    <w:rsid w:val="0B5A0706"/>
    <w:rsid w:val="0B6C50C3"/>
    <w:rsid w:val="0B876AA6"/>
    <w:rsid w:val="0BA866B2"/>
    <w:rsid w:val="0BC25536"/>
    <w:rsid w:val="0BC44E70"/>
    <w:rsid w:val="0BC70FDC"/>
    <w:rsid w:val="0BE304AD"/>
    <w:rsid w:val="0C1F4129"/>
    <w:rsid w:val="0C2C5D28"/>
    <w:rsid w:val="0C992C71"/>
    <w:rsid w:val="0C9B6D90"/>
    <w:rsid w:val="0CA17FE2"/>
    <w:rsid w:val="0CF200E8"/>
    <w:rsid w:val="0CFB5281"/>
    <w:rsid w:val="0D1D55A8"/>
    <w:rsid w:val="0D7F0EF3"/>
    <w:rsid w:val="0D821386"/>
    <w:rsid w:val="0D9143F5"/>
    <w:rsid w:val="0D98604D"/>
    <w:rsid w:val="0DC80225"/>
    <w:rsid w:val="0DF543FA"/>
    <w:rsid w:val="0E3E4A3E"/>
    <w:rsid w:val="0E4B51BB"/>
    <w:rsid w:val="0E606147"/>
    <w:rsid w:val="0E9209A6"/>
    <w:rsid w:val="0EA3529E"/>
    <w:rsid w:val="0EAD51FD"/>
    <w:rsid w:val="0F101154"/>
    <w:rsid w:val="0F2C0569"/>
    <w:rsid w:val="0F474D19"/>
    <w:rsid w:val="0F502301"/>
    <w:rsid w:val="0FE66E30"/>
    <w:rsid w:val="101E0DC1"/>
    <w:rsid w:val="102175E7"/>
    <w:rsid w:val="108D05E7"/>
    <w:rsid w:val="10DE5CD7"/>
    <w:rsid w:val="10F06823"/>
    <w:rsid w:val="11033425"/>
    <w:rsid w:val="11153650"/>
    <w:rsid w:val="111866E2"/>
    <w:rsid w:val="11225689"/>
    <w:rsid w:val="11545087"/>
    <w:rsid w:val="11B51CC7"/>
    <w:rsid w:val="11B63890"/>
    <w:rsid w:val="11F869AD"/>
    <w:rsid w:val="120078D5"/>
    <w:rsid w:val="120F5B90"/>
    <w:rsid w:val="12461FCD"/>
    <w:rsid w:val="12595253"/>
    <w:rsid w:val="13410712"/>
    <w:rsid w:val="13AD6547"/>
    <w:rsid w:val="13D46F11"/>
    <w:rsid w:val="1425152D"/>
    <w:rsid w:val="144015C7"/>
    <w:rsid w:val="14C84C31"/>
    <w:rsid w:val="14DE5437"/>
    <w:rsid w:val="154E4A47"/>
    <w:rsid w:val="15CF33A3"/>
    <w:rsid w:val="160939F5"/>
    <w:rsid w:val="16515B13"/>
    <w:rsid w:val="16D17711"/>
    <w:rsid w:val="16DA634E"/>
    <w:rsid w:val="171F40EF"/>
    <w:rsid w:val="17530F00"/>
    <w:rsid w:val="176418FA"/>
    <w:rsid w:val="17E46B48"/>
    <w:rsid w:val="17ED57D7"/>
    <w:rsid w:val="18AB0746"/>
    <w:rsid w:val="18CF56A2"/>
    <w:rsid w:val="18E27794"/>
    <w:rsid w:val="18FA3582"/>
    <w:rsid w:val="191638C5"/>
    <w:rsid w:val="19304618"/>
    <w:rsid w:val="193059E0"/>
    <w:rsid w:val="1952680D"/>
    <w:rsid w:val="19952FEA"/>
    <w:rsid w:val="19DA3ADD"/>
    <w:rsid w:val="19E073F5"/>
    <w:rsid w:val="1A6A0051"/>
    <w:rsid w:val="1A7C4641"/>
    <w:rsid w:val="1ACD6B01"/>
    <w:rsid w:val="1AD42669"/>
    <w:rsid w:val="1ADA1150"/>
    <w:rsid w:val="1B733CEF"/>
    <w:rsid w:val="1BA474D2"/>
    <w:rsid w:val="1BBD006E"/>
    <w:rsid w:val="1BC923FA"/>
    <w:rsid w:val="1BE37603"/>
    <w:rsid w:val="1C584056"/>
    <w:rsid w:val="1C5967D3"/>
    <w:rsid w:val="1CA909CA"/>
    <w:rsid w:val="1CFE7976"/>
    <w:rsid w:val="1D191694"/>
    <w:rsid w:val="1D1A36C0"/>
    <w:rsid w:val="1D753A34"/>
    <w:rsid w:val="1DAC2DA9"/>
    <w:rsid w:val="1DC907D8"/>
    <w:rsid w:val="1DD147BB"/>
    <w:rsid w:val="1DDD02C4"/>
    <w:rsid w:val="1DF81003"/>
    <w:rsid w:val="1E1D5362"/>
    <w:rsid w:val="1E9D272B"/>
    <w:rsid w:val="1EAA6864"/>
    <w:rsid w:val="1ED2407E"/>
    <w:rsid w:val="1F365666"/>
    <w:rsid w:val="1F8D2DF6"/>
    <w:rsid w:val="1FB50E37"/>
    <w:rsid w:val="1FE21A52"/>
    <w:rsid w:val="20237724"/>
    <w:rsid w:val="20DF163F"/>
    <w:rsid w:val="21705A5A"/>
    <w:rsid w:val="21A73661"/>
    <w:rsid w:val="21B154DA"/>
    <w:rsid w:val="222825A1"/>
    <w:rsid w:val="22D27462"/>
    <w:rsid w:val="22D37C8D"/>
    <w:rsid w:val="22F23A55"/>
    <w:rsid w:val="233E4D04"/>
    <w:rsid w:val="233F4243"/>
    <w:rsid w:val="236767FF"/>
    <w:rsid w:val="23850F01"/>
    <w:rsid w:val="238C011B"/>
    <w:rsid w:val="23F766D1"/>
    <w:rsid w:val="24476BC8"/>
    <w:rsid w:val="244E195C"/>
    <w:rsid w:val="24B40330"/>
    <w:rsid w:val="24B417FC"/>
    <w:rsid w:val="25710085"/>
    <w:rsid w:val="25866D0E"/>
    <w:rsid w:val="26010DBB"/>
    <w:rsid w:val="26AD7913"/>
    <w:rsid w:val="26BE657D"/>
    <w:rsid w:val="26F006B9"/>
    <w:rsid w:val="26FD7083"/>
    <w:rsid w:val="272215E1"/>
    <w:rsid w:val="27402A09"/>
    <w:rsid w:val="27537759"/>
    <w:rsid w:val="27A84D7E"/>
    <w:rsid w:val="27B718A8"/>
    <w:rsid w:val="28246292"/>
    <w:rsid w:val="28281AF8"/>
    <w:rsid w:val="287D78CB"/>
    <w:rsid w:val="29516F5D"/>
    <w:rsid w:val="29572963"/>
    <w:rsid w:val="29941787"/>
    <w:rsid w:val="29E71526"/>
    <w:rsid w:val="29F53FE3"/>
    <w:rsid w:val="2A225E23"/>
    <w:rsid w:val="2A2E6364"/>
    <w:rsid w:val="2AC960D4"/>
    <w:rsid w:val="2B247CD9"/>
    <w:rsid w:val="2BB01797"/>
    <w:rsid w:val="2BC60687"/>
    <w:rsid w:val="2C04168F"/>
    <w:rsid w:val="2CFC0797"/>
    <w:rsid w:val="2D0C0BE1"/>
    <w:rsid w:val="2DA1036D"/>
    <w:rsid w:val="2DC32E46"/>
    <w:rsid w:val="2DCE1225"/>
    <w:rsid w:val="2DD956D1"/>
    <w:rsid w:val="2DE26335"/>
    <w:rsid w:val="2DED2F50"/>
    <w:rsid w:val="2E5F78AF"/>
    <w:rsid w:val="2E9C2A2A"/>
    <w:rsid w:val="2EA60B18"/>
    <w:rsid w:val="2EBF26B6"/>
    <w:rsid w:val="2EC2510B"/>
    <w:rsid w:val="2ECF087F"/>
    <w:rsid w:val="2EDE0B4C"/>
    <w:rsid w:val="2F447DDB"/>
    <w:rsid w:val="3001428D"/>
    <w:rsid w:val="3020148A"/>
    <w:rsid w:val="3052747F"/>
    <w:rsid w:val="30A311EE"/>
    <w:rsid w:val="30B04BD7"/>
    <w:rsid w:val="30D466B8"/>
    <w:rsid w:val="30F3115B"/>
    <w:rsid w:val="31151D4B"/>
    <w:rsid w:val="317918D1"/>
    <w:rsid w:val="31B728FE"/>
    <w:rsid w:val="31ED3217"/>
    <w:rsid w:val="32000963"/>
    <w:rsid w:val="324C6DD2"/>
    <w:rsid w:val="325810F9"/>
    <w:rsid w:val="32843D09"/>
    <w:rsid w:val="32A81ED3"/>
    <w:rsid w:val="33011A72"/>
    <w:rsid w:val="33115B16"/>
    <w:rsid w:val="334C75D9"/>
    <w:rsid w:val="339E7D41"/>
    <w:rsid w:val="33A91191"/>
    <w:rsid w:val="33C323AA"/>
    <w:rsid w:val="33CA5B59"/>
    <w:rsid w:val="33E0517D"/>
    <w:rsid w:val="33E24854"/>
    <w:rsid w:val="340046D9"/>
    <w:rsid w:val="34391761"/>
    <w:rsid w:val="348C2714"/>
    <w:rsid w:val="34A40E1E"/>
    <w:rsid w:val="34D57479"/>
    <w:rsid w:val="355774A7"/>
    <w:rsid w:val="357A38B2"/>
    <w:rsid w:val="357B1A8B"/>
    <w:rsid w:val="35825C77"/>
    <w:rsid w:val="361864A8"/>
    <w:rsid w:val="36455183"/>
    <w:rsid w:val="36764390"/>
    <w:rsid w:val="36796A4E"/>
    <w:rsid w:val="36C03CA4"/>
    <w:rsid w:val="36EA686F"/>
    <w:rsid w:val="37451380"/>
    <w:rsid w:val="37474F81"/>
    <w:rsid w:val="374764D6"/>
    <w:rsid w:val="37640D7D"/>
    <w:rsid w:val="37CB0DDF"/>
    <w:rsid w:val="382155DC"/>
    <w:rsid w:val="3840787B"/>
    <w:rsid w:val="3879419C"/>
    <w:rsid w:val="38BA56CD"/>
    <w:rsid w:val="38D72E4C"/>
    <w:rsid w:val="39704278"/>
    <w:rsid w:val="39AB6240"/>
    <w:rsid w:val="39CF7CC4"/>
    <w:rsid w:val="39F62C71"/>
    <w:rsid w:val="3A277476"/>
    <w:rsid w:val="3A29168A"/>
    <w:rsid w:val="3AA34920"/>
    <w:rsid w:val="3AD85612"/>
    <w:rsid w:val="3B71241E"/>
    <w:rsid w:val="3C172D11"/>
    <w:rsid w:val="3C380F37"/>
    <w:rsid w:val="3C6F2F79"/>
    <w:rsid w:val="3C711AE9"/>
    <w:rsid w:val="3CA56A88"/>
    <w:rsid w:val="3CFD26E6"/>
    <w:rsid w:val="3D225941"/>
    <w:rsid w:val="3D373157"/>
    <w:rsid w:val="3D482560"/>
    <w:rsid w:val="3D82249B"/>
    <w:rsid w:val="3DBC2F54"/>
    <w:rsid w:val="3E0D2E31"/>
    <w:rsid w:val="3E215946"/>
    <w:rsid w:val="3E4747EA"/>
    <w:rsid w:val="3E6843FD"/>
    <w:rsid w:val="3EB52015"/>
    <w:rsid w:val="3ED77124"/>
    <w:rsid w:val="3EFE3865"/>
    <w:rsid w:val="40505E97"/>
    <w:rsid w:val="40856EA5"/>
    <w:rsid w:val="40A233A2"/>
    <w:rsid w:val="417A1FDF"/>
    <w:rsid w:val="41906553"/>
    <w:rsid w:val="41B04BAA"/>
    <w:rsid w:val="41FA5171"/>
    <w:rsid w:val="42036579"/>
    <w:rsid w:val="42C61FEA"/>
    <w:rsid w:val="42F53C21"/>
    <w:rsid w:val="42FF7731"/>
    <w:rsid w:val="430D7AFB"/>
    <w:rsid w:val="4337096B"/>
    <w:rsid w:val="43597992"/>
    <w:rsid w:val="43927639"/>
    <w:rsid w:val="43B258A7"/>
    <w:rsid w:val="43EA2A35"/>
    <w:rsid w:val="444D554F"/>
    <w:rsid w:val="448D40CC"/>
    <w:rsid w:val="448F14F8"/>
    <w:rsid w:val="44A925C7"/>
    <w:rsid w:val="44BF358D"/>
    <w:rsid w:val="44C44D48"/>
    <w:rsid w:val="44EA61F1"/>
    <w:rsid w:val="45060FBE"/>
    <w:rsid w:val="45081C00"/>
    <w:rsid w:val="453C0287"/>
    <w:rsid w:val="455940BC"/>
    <w:rsid w:val="459914A4"/>
    <w:rsid w:val="46123AA6"/>
    <w:rsid w:val="46451427"/>
    <w:rsid w:val="46851474"/>
    <w:rsid w:val="46B75FF4"/>
    <w:rsid w:val="472165EF"/>
    <w:rsid w:val="479030BD"/>
    <w:rsid w:val="479F1A61"/>
    <w:rsid w:val="47D32C58"/>
    <w:rsid w:val="480B3E23"/>
    <w:rsid w:val="48125493"/>
    <w:rsid w:val="481D5AC0"/>
    <w:rsid w:val="484C2E4B"/>
    <w:rsid w:val="48790BB2"/>
    <w:rsid w:val="48A04259"/>
    <w:rsid w:val="48BB0E2E"/>
    <w:rsid w:val="49006108"/>
    <w:rsid w:val="492F06F5"/>
    <w:rsid w:val="49315954"/>
    <w:rsid w:val="497339C8"/>
    <w:rsid w:val="49BA6068"/>
    <w:rsid w:val="49DD3324"/>
    <w:rsid w:val="4A015E94"/>
    <w:rsid w:val="4A134FC1"/>
    <w:rsid w:val="4A3239DD"/>
    <w:rsid w:val="4A38408C"/>
    <w:rsid w:val="4A5D620F"/>
    <w:rsid w:val="4A752BDF"/>
    <w:rsid w:val="4A9276B6"/>
    <w:rsid w:val="4B3C7456"/>
    <w:rsid w:val="4B5167FE"/>
    <w:rsid w:val="4B6953DF"/>
    <w:rsid w:val="4B953419"/>
    <w:rsid w:val="4B984E24"/>
    <w:rsid w:val="4BA61E10"/>
    <w:rsid w:val="4BC3642E"/>
    <w:rsid w:val="4C7D7C32"/>
    <w:rsid w:val="4CAB1357"/>
    <w:rsid w:val="4CD306F4"/>
    <w:rsid w:val="4CFD6224"/>
    <w:rsid w:val="4D0E5B6F"/>
    <w:rsid w:val="4D2D34D0"/>
    <w:rsid w:val="4D4D015F"/>
    <w:rsid w:val="4D907AE6"/>
    <w:rsid w:val="4DE36D2A"/>
    <w:rsid w:val="4DE37CFF"/>
    <w:rsid w:val="4E567F0B"/>
    <w:rsid w:val="4E884AFF"/>
    <w:rsid w:val="4EA40949"/>
    <w:rsid w:val="4EAC0EF9"/>
    <w:rsid w:val="4EC0180F"/>
    <w:rsid w:val="4ED047ED"/>
    <w:rsid w:val="4ED47A9B"/>
    <w:rsid w:val="4F2437EA"/>
    <w:rsid w:val="4F3F22CC"/>
    <w:rsid w:val="4FD3707B"/>
    <w:rsid w:val="500352A9"/>
    <w:rsid w:val="503C4ACD"/>
    <w:rsid w:val="50744369"/>
    <w:rsid w:val="50CD7971"/>
    <w:rsid w:val="50D331C4"/>
    <w:rsid w:val="51A37E25"/>
    <w:rsid w:val="52B770D2"/>
    <w:rsid w:val="52D0582E"/>
    <w:rsid w:val="52D93CAE"/>
    <w:rsid w:val="52F81748"/>
    <w:rsid w:val="530D7962"/>
    <w:rsid w:val="532D7A4E"/>
    <w:rsid w:val="53B40D15"/>
    <w:rsid w:val="54045358"/>
    <w:rsid w:val="54095DCF"/>
    <w:rsid w:val="543432E0"/>
    <w:rsid w:val="543E2D92"/>
    <w:rsid w:val="54833F31"/>
    <w:rsid w:val="54851172"/>
    <w:rsid w:val="54CB1BD4"/>
    <w:rsid w:val="555B1930"/>
    <w:rsid w:val="55AB4E02"/>
    <w:rsid w:val="55D13BCE"/>
    <w:rsid w:val="55D27FF7"/>
    <w:rsid w:val="56095771"/>
    <w:rsid w:val="562F776B"/>
    <w:rsid w:val="56D90D13"/>
    <w:rsid w:val="56EB6F70"/>
    <w:rsid w:val="56FC7099"/>
    <w:rsid w:val="56FD467C"/>
    <w:rsid w:val="572162B6"/>
    <w:rsid w:val="57266028"/>
    <w:rsid w:val="57334248"/>
    <w:rsid w:val="57547D8B"/>
    <w:rsid w:val="57DC5A87"/>
    <w:rsid w:val="57F70A3B"/>
    <w:rsid w:val="58283C10"/>
    <w:rsid w:val="5836440B"/>
    <w:rsid w:val="58541E47"/>
    <w:rsid w:val="58572BED"/>
    <w:rsid w:val="58724228"/>
    <w:rsid w:val="58E45AAB"/>
    <w:rsid w:val="58EA184A"/>
    <w:rsid w:val="59767344"/>
    <w:rsid w:val="5989529D"/>
    <w:rsid w:val="59943D5E"/>
    <w:rsid w:val="59DA2FA8"/>
    <w:rsid w:val="5A2E1AB2"/>
    <w:rsid w:val="5A46095E"/>
    <w:rsid w:val="5A5D2AEC"/>
    <w:rsid w:val="5A7610E2"/>
    <w:rsid w:val="5B026FEB"/>
    <w:rsid w:val="5B2F6C19"/>
    <w:rsid w:val="5B4D1DE5"/>
    <w:rsid w:val="5B690E40"/>
    <w:rsid w:val="5BA02640"/>
    <w:rsid w:val="5BB32BB9"/>
    <w:rsid w:val="5C06565B"/>
    <w:rsid w:val="5C230AA2"/>
    <w:rsid w:val="5C5075DF"/>
    <w:rsid w:val="5CB34F20"/>
    <w:rsid w:val="5CC54B24"/>
    <w:rsid w:val="5CD03E33"/>
    <w:rsid w:val="5CE412A9"/>
    <w:rsid w:val="5D113ABD"/>
    <w:rsid w:val="5D3D5B13"/>
    <w:rsid w:val="5D402E50"/>
    <w:rsid w:val="5D434C1D"/>
    <w:rsid w:val="5D9B32CE"/>
    <w:rsid w:val="5DB307BB"/>
    <w:rsid w:val="5DDC04F5"/>
    <w:rsid w:val="5DDE6F44"/>
    <w:rsid w:val="5E18562C"/>
    <w:rsid w:val="5E372569"/>
    <w:rsid w:val="5E376182"/>
    <w:rsid w:val="5E4163B4"/>
    <w:rsid w:val="5E461340"/>
    <w:rsid w:val="5E9612D7"/>
    <w:rsid w:val="5EAA61C1"/>
    <w:rsid w:val="5ED06E5D"/>
    <w:rsid w:val="5F9E421D"/>
    <w:rsid w:val="5FA36042"/>
    <w:rsid w:val="602E1D49"/>
    <w:rsid w:val="6048407A"/>
    <w:rsid w:val="60695B7D"/>
    <w:rsid w:val="60B2481A"/>
    <w:rsid w:val="611634A6"/>
    <w:rsid w:val="61446912"/>
    <w:rsid w:val="61FD4F99"/>
    <w:rsid w:val="621E2356"/>
    <w:rsid w:val="625130F0"/>
    <w:rsid w:val="625F2B71"/>
    <w:rsid w:val="62CF6D60"/>
    <w:rsid w:val="62D26BF1"/>
    <w:rsid w:val="62DB3EE2"/>
    <w:rsid w:val="630714C0"/>
    <w:rsid w:val="632A329F"/>
    <w:rsid w:val="63BB6A74"/>
    <w:rsid w:val="63F819B0"/>
    <w:rsid w:val="64063AED"/>
    <w:rsid w:val="641A474D"/>
    <w:rsid w:val="64317D4F"/>
    <w:rsid w:val="647E6B05"/>
    <w:rsid w:val="649712DC"/>
    <w:rsid w:val="64EB6D00"/>
    <w:rsid w:val="654D7BC5"/>
    <w:rsid w:val="656B662B"/>
    <w:rsid w:val="65B26D39"/>
    <w:rsid w:val="65C71FE8"/>
    <w:rsid w:val="66306E66"/>
    <w:rsid w:val="6634569F"/>
    <w:rsid w:val="66706565"/>
    <w:rsid w:val="66B84C52"/>
    <w:rsid w:val="66CC1519"/>
    <w:rsid w:val="66DE7474"/>
    <w:rsid w:val="66E25462"/>
    <w:rsid w:val="66FA1755"/>
    <w:rsid w:val="67B8268A"/>
    <w:rsid w:val="67D8556F"/>
    <w:rsid w:val="68BA11B1"/>
    <w:rsid w:val="68DD292F"/>
    <w:rsid w:val="692D1B24"/>
    <w:rsid w:val="69A86E00"/>
    <w:rsid w:val="69D32071"/>
    <w:rsid w:val="6A0F2881"/>
    <w:rsid w:val="6A632FDC"/>
    <w:rsid w:val="6B621BD3"/>
    <w:rsid w:val="6B666CBF"/>
    <w:rsid w:val="6B6A3824"/>
    <w:rsid w:val="6B8D3C6A"/>
    <w:rsid w:val="6BBD469F"/>
    <w:rsid w:val="6BD8609F"/>
    <w:rsid w:val="6C7D45DF"/>
    <w:rsid w:val="6C9D6373"/>
    <w:rsid w:val="6CD2425B"/>
    <w:rsid w:val="6D082457"/>
    <w:rsid w:val="6D1B13AA"/>
    <w:rsid w:val="6D1D6475"/>
    <w:rsid w:val="6D39523C"/>
    <w:rsid w:val="6D694228"/>
    <w:rsid w:val="6DFA0378"/>
    <w:rsid w:val="6E1D074F"/>
    <w:rsid w:val="6E542C36"/>
    <w:rsid w:val="6E5E78E3"/>
    <w:rsid w:val="6EA87145"/>
    <w:rsid w:val="6EE91670"/>
    <w:rsid w:val="6EEA70AC"/>
    <w:rsid w:val="6F1D0948"/>
    <w:rsid w:val="6F56240A"/>
    <w:rsid w:val="6F562BDA"/>
    <w:rsid w:val="6FE12C91"/>
    <w:rsid w:val="6FF112D3"/>
    <w:rsid w:val="70283065"/>
    <w:rsid w:val="705739CB"/>
    <w:rsid w:val="70A84EAF"/>
    <w:rsid w:val="70CA4D96"/>
    <w:rsid w:val="713C48DD"/>
    <w:rsid w:val="714B3C10"/>
    <w:rsid w:val="7161177E"/>
    <w:rsid w:val="71AA620F"/>
    <w:rsid w:val="71BD0B58"/>
    <w:rsid w:val="71CE0EF7"/>
    <w:rsid w:val="71DD0E96"/>
    <w:rsid w:val="7253080D"/>
    <w:rsid w:val="729C0C9A"/>
    <w:rsid w:val="72BD46BF"/>
    <w:rsid w:val="7370618E"/>
    <w:rsid w:val="73AA4E77"/>
    <w:rsid w:val="740E3BA5"/>
    <w:rsid w:val="741C240B"/>
    <w:rsid w:val="743052B5"/>
    <w:rsid w:val="74496F84"/>
    <w:rsid w:val="74A233F6"/>
    <w:rsid w:val="74FC4026"/>
    <w:rsid w:val="752909C8"/>
    <w:rsid w:val="756D2F4A"/>
    <w:rsid w:val="757D7B34"/>
    <w:rsid w:val="75931D2D"/>
    <w:rsid w:val="75D7154E"/>
    <w:rsid w:val="760C0670"/>
    <w:rsid w:val="768B02AD"/>
    <w:rsid w:val="76DD4688"/>
    <w:rsid w:val="77323BA4"/>
    <w:rsid w:val="776D30C9"/>
    <w:rsid w:val="77C86BB5"/>
    <w:rsid w:val="77F104F2"/>
    <w:rsid w:val="78576539"/>
    <w:rsid w:val="786A3D1F"/>
    <w:rsid w:val="78726B36"/>
    <w:rsid w:val="78854AF1"/>
    <w:rsid w:val="79012166"/>
    <w:rsid w:val="79052133"/>
    <w:rsid w:val="79473CAD"/>
    <w:rsid w:val="79A77FE4"/>
    <w:rsid w:val="79F23F5B"/>
    <w:rsid w:val="7A172C2B"/>
    <w:rsid w:val="7A7110A8"/>
    <w:rsid w:val="7AA164C3"/>
    <w:rsid w:val="7AA66C8E"/>
    <w:rsid w:val="7ABA4864"/>
    <w:rsid w:val="7AC43027"/>
    <w:rsid w:val="7AE5541D"/>
    <w:rsid w:val="7B0C7DC4"/>
    <w:rsid w:val="7B423426"/>
    <w:rsid w:val="7B4B63E5"/>
    <w:rsid w:val="7BD246A2"/>
    <w:rsid w:val="7C6B2463"/>
    <w:rsid w:val="7C8A699A"/>
    <w:rsid w:val="7CDF16AC"/>
    <w:rsid w:val="7D0F407B"/>
    <w:rsid w:val="7DA94DF1"/>
    <w:rsid w:val="7E5D14EE"/>
    <w:rsid w:val="7ED143B9"/>
    <w:rsid w:val="7F085819"/>
    <w:rsid w:val="7F266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qFormat="1" w:uiPriority="99" w:semiHidden="0" w:name="endnote reference"/>
    <w:lsdException w:qFormat="1" w:uiPriority="99"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US" w:eastAsia="zh-CN" w:bidi="ar-SA"/>
    </w:rPr>
  </w:style>
  <w:style w:type="paragraph" w:styleId="2">
    <w:name w:val="heading 1"/>
    <w:basedOn w:val="1"/>
    <w:next w:val="1"/>
    <w:link w:val="150"/>
    <w:qFormat/>
    <w:uiPriority w:val="0"/>
    <w:pPr>
      <w:keepNext/>
      <w:keepLines/>
      <w:spacing w:before="340" w:after="330" w:line="576" w:lineRule="auto"/>
      <w:outlineLvl w:val="0"/>
    </w:pPr>
    <w:rPr>
      <w:b/>
      <w:bCs/>
      <w:kern w:val="44"/>
      <w:sz w:val="44"/>
      <w:szCs w:val="44"/>
    </w:rPr>
  </w:style>
  <w:style w:type="paragraph" w:styleId="3">
    <w:name w:val="heading 2"/>
    <w:basedOn w:val="1"/>
    <w:next w:val="4"/>
    <w:link w:val="152"/>
    <w:qFormat/>
    <w:uiPriority w:val="0"/>
    <w:pPr>
      <w:keepNext/>
      <w:keepLines/>
      <w:adjustRightInd w:val="0"/>
      <w:snapToGrid w:val="0"/>
      <w:spacing w:line="360" w:lineRule="auto"/>
      <w:jc w:val="center"/>
      <w:outlineLvl w:val="1"/>
    </w:pPr>
    <w:rPr>
      <w:rFonts w:ascii="宋体" w:hAnsi="Arial"/>
      <w:sz w:val="32"/>
    </w:rPr>
  </w:style>
  <w:style w:type="paragraph" w:styleId="5">
    <w:name w:val="heading 3"/>
    <w:basedOn w:val="1"/>
    <w:next w:val="1"/>
    <w:link w:val="172"/>
    <w:qFormat/>
    <w:uiPriority w:val="0"/>
    <w:pPr>
      <w:widowControl w:val="0"/>
      <w:tabs>
        <w:tab w:val="left" w:pos="851"/>
      </w:tabs>
      <w:autoSpaceDE w:val="0"/>
      <w:autoSpaceDN w:val="0"/>
      <w:adjustRightInd w:val="0"/>
      <w:snapToGrid w:val="0"/>
      <w:spacing w:line="360" w:lineRule="auto"/>
      <w:jc w:val="both"/>
      <w:outlineLvl w:val="2"/>
    </w:pPr>
    <w:rPr>
      <w:rFonts w:ascii="宋体"/>
    </w:rPr>
  </w:style>
  <w:style w:type="paragraph" w:styleId="6">
    <w:name w:val="heading 4"/>
    <w:basedOn w:val="1"/>
    <w:next w:val="4"/>
    <w:link w:val="164"/>
    <w:qFormat/>
    <w:uiPriority w:val="0"/>
    <w:pPr>
      <w:widowControl w:val="0"/>
      <w:autoSpaceDE w:val="0"/>
      <w:autoSpaceDN w:val="0"/>
      <w:adjustRightInd w:val="0"/>
      <w:snapToGrid w:val="0"/>
      <w:spacing w:line="360" w:lineRule="auto"/>
      <w:jc w:val="both"/>
      <w:outlineLvl w:val="3"/>
    </w:pPr>
    <w:rPr>
      <w:rFonts w:ascii="宋体" w:hAnsi="Arial"/>
      <w:color w:val="000000"/>
    </w:rPr>
  </w:style>
  <w:style w:type="paragraph" w:styleId="7">
    <w:name w:val="heading 5"/>
    <w:basedOn w:val="1"/>
    <w:next w:val="4"/>
    <w:link w:val="162"/>
    <w:qFormat/>
    <w:uiPriority w:val="0"/>
    <w:pPr>
      <w:keepNext/>
      <w:widowControl w:val="0"/>
      <w:autoSpaceDE w:val="0"/>
      <w:autoSpaceDN w:val="0"/>
      <w:adjustRightInd w:val="0"/>
      <w:snapToGrid w:val="0"/>
      <w:spacing w:before="280" w:after="290" w:line="374" w:lineRule="auto"/>
      <w:jc w:val="both"/>
      <w:outlineLvl w:val="4"/>
    </w:pPr>
    <w:rPr>
      <w:rFonts w:ascii="宋体"/>
      <w:b/>
      <w:color w:val="000000"/>
      <w:sz w:val="28"/>
    </w:rPr>
  </w:style>
  <w:style w:type="paragraph" w:styleId="8">
    <w:name w:val="heading 6"/>
    <w:basedOn w:val="1"/>
    <w:next w:val="4"/>
    <w:link w:val="167"/>
    <w:qFormat/>
    <w:uiPriority w:val="0"/>
    <w:pPr>
      <w:keepNext/>
      <w:widowControl w:val="0"/>
      <w:autoSpaceDE w:val="0"/>
      <w:autoSpaceDN w:val="0"/>
      <w:adjustRightInd w:val="0"/>
      <w:snapToGrid w:val="0"/>
      <w:spacing w:before="240" w:after="64" w:line="319" w:lineRule="auto"/>
      <w:jc w:val="both"/>
      <w:outlineLvl w:val="5"/>
    </w:pPr>
    <w:rPr>
      <w:rFonts w:ascii="Arial" w:hAnsi="Arial" w:eastAsia="黑体"/>
      <w:b/>
      <w:color w:val="000000"/>
      <w:sz w:val="24"/>
    </w:rPr>
  </w:style>
  <w:style w:type="paragraph" w:styleId="9">
    <w:name w:val="heading 7"/>
    <w:basedOn w:val="1"/>
    <w:next w:val="4"/>
    <w:link w:val="182"/>
    <w:qFormat/>
    <w:uiPriority w:val="0"/>
    <w:pPr>
      <w:keepNext/>
      <w:widowControl w:val="0"/>
      <w:autoSpaceDE w:val="0"/>
      <w:autoSpaceDN w:val="0"/>
      <w:adjustRightInd w:val="0"/>
      <w:snapToGrid w:val="0"/>
      <w:spacing w:before="240" w:after="64" w:line="319" w:lineRule="auto"/>
      <w:jc w:val="both"/>
      <w:outlineLvl w:val="6"/>
    </w:pPr>
    <w:rPr>
      <w:rFonts w:ascii="宋体"/>
      <w:b/>
      <w:color w:val="000000"/>
      <w:sz w:val="24"/>
    </w:rPr>
  </w:style>
  <w:style w:type="paragraph" w:styleId="10">
    <w:name w:val="heading 8"/>
    <w:basedOn w:val="1"/>
    <w:next w:val="4"/>
    <w:link w:val="151"/>
    <w:qFormat/>
    <w:uiPriority w:val="0"/>
    <w:pPr>
      <w:keepNext/>
      <w:widowControl w:val="0"/>
      <w:autoSpaceDE w:val="0"/>
      <w:autoSpaceDN w:val="0"/>
      <w:adjustRightInd w:val="0"/>
      <w:snapToGrid w:val="0"/>
      <w:spacing w:before="240" w:after="64" w:line="319" w:lineRule="auto"/>
      <w:jc w:val="both"/>
      <w:outlineLvl w:val="7"/>
    </w:pPr>
    <w:rPr>
      <w:rFonts w:ascii="Arial" w:hAnsi="Arial" w:eastAsia="黑体"/>
      <w:color w:val="000000"/>
      <w:sz w:val="24"/>
    </w:rPr>
  </w:style>
  <w:style w:type="paragraph" w:styleId="11">
    <w:name w:val="heading 9"/>
    <w:basedOn w:val="1"/>
    <w:next w:val="4"/>
    <w:link w:val="180"/>
    <w:qFormat/>
    <w:uiPriority w:val="0"/>
    <w:pPr>
      <w:keepNext/>
      <w:widowControl w:val="0"/>
      <w:autoSpaceDE w:val="0"/>
      <w:autoSpaceDN w:val="0"/>
      <w:adjustRightInd w:val="0"/>
      <w:snapToGrid w:val="0"/>
      <w:spacing w:before="240" w:after="64" w:line="319" w:lineRule="auto"/>
      <w:jc w:val="both"/>
      <w:outlineLvl w:val="8"/>
    </w:pPr>
    <w:rPr>
      <w:rFonts w:ascii="Arial" w:hAnsi="Arial" w:eastAsia="黑体"/>
      <w:color w:val="000000"/>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link w:val="170"/>
    <w:qFormat/>
    <w:uiPriority w:val="99"/>
    <w:pPr>
      <w:ind w:firstLine="420"/>
    </w:pPr>
  </w:style>
  <w:style w:type="paragraph" w:styleId="12">
    <w:name w:val="toc 7"/>
    <w:basedOn w:val="1"/>
    <w:next w:val="1"/>
    <w:unhideWhenUsed/>
    <w:qFormat/>
    <w:uiPriority w:val="39"/>
    <w:pPr>
      <w:widowControl w:val="0"/>
      <w:ind w:left="2520" w:leftChars="1200"/>
      <w:jc w:val="both"/>
    </w:pPr>
    <w:rPr>
      <w:rFonts w:ascii="Calibri" w:hAnsi="Calibri"/>
      <w:kern w:val="2"/>
      <w:szCs w:val="22"/>
    </w:rPr>
  </w:style>
  <w:style w:type="paragraph" w:styleId="13">
    <w:name w:val="caption"/>
    <w:basedOn w:val="1"/>
    <w:next w:val="1"/>
    <w:qFormat/>
    <w:uiPriority w:val="0"/>
    <w:rPr>
      <w:rFonts w:ascii="Cambria" w:hAnsi="Cambria" w:eastAsia="黑体"/>
      <w:sz w:val="20"/>
    </w:rPr>
  </w:style>
  <w:style w:type="paragraph" w:styleId="14">
    <w:name w:val="Document Map"/>
    <w:basedOn w:val="1"/>
    <w:link w:val="175"/>
    <w:qFormat/>
    <w:uiPriority w:val="0"/>
    <w:pPr>
      <w:widowControl w:val="0"/>
      <w:shd w:val="clear" w:color="auto" w:fill="000080"/>
      <w:jc w:val="both"/>
    </w:pPr>
    <w:rPr>
      <w:kern w:val="2"/>
    </w:rPr>
  </w:style>
  <w:style w:type="paragraph" w:styleId="15">
    <w:name w:val="annotation text"/>
    <w:basedOn w:val="1"/>
    <w:link w:val="187"/>
    <w:qFormat/>
    <w:uiPriority w:val="99"/>
  </w:style>
  <w:style w:type="paragraph" w:styleId="16">
    <w:name w:val="Body Text 3"/>
    <w:basedOn w:val="1"/>
    <w:link w:val="169"/>
    <w:qFormat/>
    <w:uiPriority w:val="0"/>
    <w:pPr>
      <w:spacing w:after="120"/>
    </w:pPr>
    <w:rPr>
      <w:sz w:val="16"/>
      <w:szCs w:val="16"/>
    </w:rPr>
  </w:style>
  <w:style w:type="paragraph" w:styleId="17">
    <w:name w:val="Closing"/>
    <w:basedOn w:val="1"/>
    <w:link w:val="174"/>
    <w:qFormat/>
    <w:uiPriority w:val="0"/>
    <w:pPr>
      <w:widowControl w:val="0"/>
      <w:ind w:left="100" w:leftChars="2100"/>
      <w:jc w:val="both"/>
    </w:pPr>
    <w:rPr>
      <w:rFonts w:ascii="宋体" w:hAnsi="宋体"/>
      <w:color w:val="000000"/>
      <w:kern w:val="2"/>
      <w:sz w:val="24"/>
    </w:rPr>
  </w:style>
  <w:style w:type="paragraph" w:styleId="18">
    <w:name w:val="Body Text"/>
    <w:basedOn w:val="1"/>
    <w:link w:val="184"/>
    <w:qFormat/>
    <w:uiPriority w:val="0"/>
    <w:pPr>
      <w:spacing w:after="120"/>
    </w:pPr>
  </w:style>
  <w:style w:type="paragraph" w:styleId="19">
    <w:name w:val="Body Text Indent"/>
    <w:basedOn w:val="1"/>
    <w:link w:val="154"/>
    <w:qFormat/>
    <w:uiPriority w:val="0"/>
    <w:pPr>
      <w:spacing w:after="120"/>
      <w:ind w:left="420" w:leftChars="200"/>
    </w:pPr>
  </w:style>
  <w:style w:type="paragraph" w:styleId="20">
    <w:name w:val="Block Text"/>
    <w:basedOn w:val="1"/>
    <w:qFormat/>
    <w:uiPriority w:val="0"/>
    <w:pPr>
      <w:widowControl w:val="0"/>
      <w:adjustRightInd w:val="0"/>
      <w:ind w:left="420" w:right="33"/>
      <w:textAlignment w:val="baseline"/>
    </w:pPr>
    <w:rPr>
      <w:sz w:val="24"/>
    </w:rPr>
  </w:style>
  <w:style w:type="paragraph" w:styleId="21">
    <w:name w:val="toc 5"/>
    <w:basedOn w:val="1"/>
    <w:next w:val="1"/>
    <w:unhideWhenUsed/>
    <w:qFormat/>
    <w:uiPriority w:val="39"/>
    <w:pPr>
      <w:widowControl w:val="0"/>
      <w:ind w:left="1680" w:leftChars="800"/>
      <w:jc w:val="both"/>
    </w:pPr>
    <w:rPr>
      <w:rFonts w:ascii="Calibri" w:hAnsi="Calibri"/>
      <w:kern w:val="2"/>
      <w:szCs w:val="22"/>
    </w:rPr>
  </w:style>
  <w:style w:type="paragraph" w:styleId="22">
    <w:name w:val="toc 3"/>
    <w:basedOn w:val="1"/>
    <w:next w:val="1"/>
    <w:qFormat/>
    <w:uiPriority w:val="39"/>
    <w:pPr>
      <w:ind w:left="840" w:leftChars="400"/>
    </w:pPr>
  </w:style>
  <w:style w:type="paragraph" w:styleId="23">
    <w:name w:val="Plain Text"/>
    <w:basedOn w:val="1"/>
    <w:link w:val="173"/>
    <w:qFormat/>
    <w:uiPriority w:val="0"/>
    <w:rPr>
      <w:rFonts w:ascii="宋体" w:hAnsi="Courier New" w:cs="Courier New"/>
      <w:szCs w:val="21"/>
    </w:rPr>
  </w:style>
  <w:style w:type="paragraph" w:styleId="24">
    <w:name w:val="toc 8"/>
    <w:basedOn w:val="1"/>
    <w:next w:val="1"/>
    <w:unhideWhenUsed/>
    <w:qFormat/>
    <w:uiPriority w:val="39"/>
    <w:pPr>
      <w:widowControl w:val="0"/>
      <w:ind w:left="2940" w:leftChars="1400"/>
      <w:jc w:val="both"/>
    </w:pPr>
    <w:rPr>
      <w:rFonts w:ascii="Calibri" w:hAnsi="Calibri"/>
      <w:kern w:val="2"/>
      <w:szCs w:val="22"/>
    </w:rPr>
  </w:style>
  <w:style w:type="paragraph" w:styleId="25">
    <w:name w:val="Date"/>
    <w:basedOn w:val="1"/>
    <w:next w:val="1"/>
    <w:link w:val="161"/>
    <w:qFormat/>
    <w:uiPriority w:val="0"/>
    <w:pPr>
      <w:widowControl w:val="0"/>
      <w:jc w:val="both"/>
    </w:pPr>
    <w:rPr>
      <w:rFonts w:ascii="楷体_GB2312" w:eastAsia="楷体_GB2312"/>
      <w:kern w:val="2"/>
      <w:sz w:val="28"/>
    </w:rPr>
  </w:style>
  <w:style w:type="paragraph" w:styleId="26">
    <w:name w:val="Body Text Indent 2"/>
    <w:basedOn w:val="1"/>
    <w:link w:val="157"/>
    <w:qFormat/>
    <w:uiPriority w:val="0"/>
    <w:pPr>
      <w:spacing w:after="120" w:line="480" w:lineRule="auto"/>
      <w:ind w:left="420" w:leftChars="200"/>
    </w:pPr>
  </w:style>
  <w:style w:type="paragraph" w:styleId="27">
    <w:name w:val="endnote text"/>
    <w:basedOn w:val="1"/>
    <w:link w:val="188"/>
    <w:unhideWhenUsed/>
    <w:qFormat/>
    <w:uiPriority w:val="99"/>
    <w:pPr>
      <w:widowControl w:val="0"/>
      <w:snapToGrid w:val="0"/>
    </w:pPr>
    <w:rPr>
      <w:rFonts w:ascii="Calibri" w:hAnsi="Calibri"/>
      <w:kern w:val="2"/>
      <w:szCs w:val="22"/>
    </w:rPr>
  </w:style>
  <w:style w:type="paragraph" w:styleId="28">
    <w:name w:val="Balloon Text"/>
    <w:basedOn w:val="1"/>
    <w:link w:val="159"/>
    <w:qFormat/>
    <w:uiPriority w:val="99"/>
    <w:rPr>
      <w:sz w:val="18"/>
      <w:szCs w:val="18"/>
    </w:rPr>
  </w:style>
  <w:style w:type="paragraph" w:styleId="29">
    <w:name w:val="footer"/>
    <w:basedOn w:val="1"/>
    <w:link w:val="176"/>
    <w:qFormat/>
    <w:uiPriority w:val="99"/>
    <w:pPr>
      <w:tabs>
        <w:tab w:val="center" w:pos="4153"/>
        <w:tab w:val="right" w:pos="8306"/>
      </w:tabs>
      <w:snapToGrid w:val="0"/>
    </w:pPr>
    <w:rPr>
      <w:sz w:val="18"/>
    </w:rPr>
  </w:style>
  <w:style w:type="paragraph" w:styleId="30">
    <w:name w:val="header"/>
    <w:basedOn w:val="1"/>
    <w:link w:val="163"/>
    <w:qFormat/>
    <w:uiPriority w:val="99"/>
    <w:pPr>
      <w:pBdr>
        <w:bottom w:val="single" w:color="auto" w:sz="6" w:space="1"/>
      </w:pBdr>
      <w:tabs>
        <w:tab w:val="center" w:pos="4153"/>
        <w:tab w:val="right" w:pos="8306"/>
      </w:tabs>
      <w:snapToGrid w:val="0"/>
      <w:jc w:val="center"/>
    </w:pPr>
    <w:rPr>
      <w:sz w:val="18"/>
    </w:rPr>
  </w:style>
  <w:style w:type="paragraph" w:styleId="31">
    <w:name w:val="toc 1"/>
    <w:basedOn w:val="1"/>
    <w:next w:val="1"/>
    <w:qFormat/>
    <w:uiPriority w:val="39"/>
    <w:pPr>
      <w:tabs>
        <w:tab w:val="right" w:leader="dot" w:pos="9402"/>
      </w:tabs>
      <w:spacing w:line="360" w:lineRule="auto"/>
      <w:ind w:left="824" w:hanging="824"/>
      <w:jc w:val="center"/>
    </w:pPr>
    <w:rPr>
      <w:rFonts w:ascii="宋体"/>
    </w:rPr>
  </w:style>
  <w:style w:type="paragraph" w:styleId="32">
    <w:name w:val="toc 4"/>
    <w:basedOn w:val="1"/>
    <w:next w:val="1"/>
    <w:unhideWhenUsed/>
    <w:qFormat/>
    <w:uiPriority w:val="39"/>
    <w:pPr>
      <w:widowControl w:val="0"/>
      <w:ind w:left="1260" w:leftChars="600"/>
      <w:jc w:val="both"/>
    </w:pPr>
    <w:rPr>
      <w:rFonts w:ascii="Calibri" w:hAnsi="Calibri"/>
      <w:kern w:val="2"/>
      <w:szCs w:val="22"/>
    </w:rPr>
  </w:style>
  <w:style w:type="paragraph" w:styleId="33">
    <w:name w:val="index heading"/>
    <w:basedOn w:val="1"/>
    <w:next w:val="34"/>
    <w:qFormat/>
    <w:uiPriority w:val="0"/>
    <w:pPr>
      <w:widowControl w:val="0"/>
      <w:jc w:val="both"/>
    </w:pPr>
    <w:rPr>
      <w:kern w:val="2"/>
    </w:rPr>
  </w:style>
  <w:style w:type="paragraph" w:styleId="34">
    <w:name w:val="index 1"/>
    <w:basedOn w:val="1"/>
    <w:next w:val="1"/>
    <w:semiHidden/>
    <w:qFormat/>
    <w:uiPriority w:val="0"/>
  </w:style>
  <w:style w:type="paragraph" w:styleId="35">
    <w:name w:val="toc 6"/>
    <w:basedOn w:val="1"/>
    <w:next w:val="1"/>
    <w:unhideWhenUsed/>
    <w:qFormat/>
    <w:uiPriority w:val="39"/>
    <w:pPr>
      <w:widowControl w:val="0"/>
      <w:ind w:left="2100" w:leftChars="1000"/>
      <w:jc w:val="both"/>
    </w:pPr>
    <w:rPr>
      <w:rFonts w:ascii="Calibri" w:hAnsi="Calibri"/>
      <w:kern w:val="2"/>
      <w:szCs w:val="22"/>
    </w:rPr>
  </w:style>
  <w:style w:type="paragraph" w:styleId="36">
    <w:name w:val="Body Text Indent 3"/>
    <w:basedOn w:val="1"/>
    <w:link w:val="190"/>
    <w:qFormat/>
    <w:uiPriority w:val="0"/>
    <w:pPr>
      <w:spacing w:after="120"/>
      <w:ind w:left="420" w:leftChars="200"/>
    </w:pPr>
    <w:rPr>
      <w:sz w:val="16"/>
      <w:szCs w:val="16"/>
    </w:rPr>
  </w:style>
  <w:style w:type="paragraph" w:styleId="37">
    <w:name w:val="toc 2"/>
    <w:basedOn w:val="1"/>
    <w:next w:val="1"/>
    <w:qFormat/>
    <w:uiPriority w:val="39"/>
    <w:pPr>
      <w:tabs>
        <w:tab w:val="right" w:leader="dot" w:pos="9402"/>
      </w:tabs>
      <w:spacing w:line="360" w:lineRule="auto"/>
      <w:ind w:left="993" w:leftChars="202" w:hanging="569" w:hangingChars="237"/>
    </w:pPr>
  </w:style>
  <w:style w:type="paragraph" w:styleId="38">
    <w:name w:val="toc 9"/>
    <w:basedOn w:val="1"/>
    <w:next w:val="1"/>
    <w:unhideWhenUsed/>
    <w:qFormat/>
    <w:uiPriority w:val="39"/>
    <w:pPr>
      <w:widowControl w:val="0"/>
      <w:ind w:left="3360" w:leftChars="1600"/>
      <w:jc w:val="both"/>
    </w:pPr>
    <w:rPr>
      <w:rFonts w:ascii="Calibri" w:hAnsi="Calibri"/>
      <w:kern w:val="2"/>
      <w:szCs w:val="22"/>
    </w:rPr>
  </w:style>
  <w:style w:type="paragraph" w:styleId="39">
    <w:name w:val="Body Text 2"/>
    <w:basedOn w:val="1"/>
    <w:link w:val="186"/>
    <w:qFormat/>
    <w:uiPriority w:val="0"/>
    <w:pPr>
      <w:spacing w:after="120" w:line="480" w:lineRule="auto"/>
    </w:pPr>
  </w:style>
  <w:style w:type="paragraph" w:styleId="40">
    <w:name w:val="HTML Preformatted"/>
    <w:basedOn w:val="1"/>
    <w:link w:val="179"/>
    <w:qFormat/>
    <w:uiPriority w:val="0"/>
    <w:rPr>
      <w:rFonts w:ascii="黑体" w:hAnsi="Courier New" w:eastAsia="黑体"/>
      <w:sz w:val="20"/>
      <w:szCs w:val="21"/>
    </w:rPr>
  </w:style>
  <w:style w:type="paragraph" w:styleId="41">
    <w:name w:val="Normal (Web)"/>
    <w:basedOn w:val="1"/>
    <w:qFormat/>
    <w:uiPriority w:val="0"/>
    <w:pPr>
      <w:spacing w:before="100" w:beforeAutospacing="1" w:after="100" w:afterAutospacing="1"/>
    </w:pPr>
    <w:rPr>
      <w:rFonts w:ascii="宋体" w:hAnsi="宋体" w:cs="宋体"/>
      <w:sz w:val="24"/>
      <w:szCs w:val="24"/>
    </w:rPr>
  </w:style>
  <w:style w:type="paragraph" w:styleId="42">
    <w:name w:val="Title"/>
    <w:basedOn w:val="1"/>
    <w:link w:val="156"/>
    <w:qFormat/>
    <w:uiPriority w:val="0"/>
    <w:pPr>
      <w:widowControl w:val="0"/>
      <w:spacing w:before="240" w:after="60"/>
      <w:jc w:val="center"/>
      <w:outlineLvl w:val="0"/>
    </w:pPr>
    <w:rPr>
      <w:rFonts w:ascii="Arial" w:hAnsi="Arial"/>
      <w:b/>
      <w:bCs/>
      <w:kern w:val="2"/>
      <w:sz w:val="32"/>
      <w:szCs w:val="32"/>
    </w:rPr>
  </w:style>
  <w:style w:type="paragraph" w:styleId="43">
    <w:name w:val="annotation subject"/>
    <w:basedOn w:val="15"/>
    <w:next w:val="15"/>
    <w:link w:val="168"/>
    <w:qFormat/>
    <w:uiPriority w:val="99"/>
    <w:rPr>
      <w:b/>
      <w:bCs/>
    </w:rPr>
  </w:style>
  <w:style w:type="paragraph" w:styleId="44">
    <w:name w:val="Body Text First Indent"/>
    <w:basedOn w:val="18"/>
    <w:link w:val="189"/>
    <w:qFormat/>
    <w:uiPriority w:val="0"/>
    <w:pPr>
      <w:widowControl w:val="0"/>
      <w:ind w:firstLine="420" w:firstLineChars="100"/>
      <w:jc w:val="both"/>
    </w:pPr>
    <w:rPr>
      <w:kern w:val="2"/>
      <w:szCs w:val="24"/>
    </w:rPr>
  </w:style>
  <w:style w:type="paragraph" w:styleId="45">
    <w:name w:val="Body Text First Indent 2"/>
    <w:basedOn w:val="19"/>
    <w:qFormat/>
    <w:uiPriority w:val="0"/>
    <w:pPr>
      <w:ind w:firstLine="420" w:firstLineChars="200"/>
    </w:p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9">
    <w:name w:val="Strong"/>
    <w:basedOn w:val="48"/>
    <w:qFormat/>
    <w:uiPriority w:val="0"/>
    <w:rPr>
      <w:b/>
      <w:bCs/>
    </w:rPr>
  </w:style>
  <w:style w:type="character" w:styleId="50">
    <w:name w:val="endnote reference"/>
    <w:unhideWhenUsed/>
    <w:qFormat/>
    <w:uiPriority w:val="99"/>
    <w:rPr>
      <w:vertAlign w:val="superscript"/>
    </w:rPr>
  </w:style>
  <w:style w:type="character" w:styleId="51">
    <w:name w:val="page number"/>
    <w:basedOn w:val="48"/>
    <w:qFormat/>
    <w:uiPriority w:val="0"/>
  </w:style>
  <w:style w:type="character" w:styleId="52">
    <w:name w:val="FollowedHyperlink"/>
    <w:qFormat/>
    <w:uiPriority w:val="0"/>
    <w:rPr>
      <w:color w:val="800080"/>
      <w:u w:val="single"/>
    </w:rPr>
  </w:style>
  <w:style w:type="character" w:styleId="53">
    <w:name w:val="Hyperlink"/>
    <w:qFormat/>
    <w:uiPriority w:val="99"/>
    <w:rPr>
      <w:color w:val="0000FF"/>
      <w:u w:val="single"/>
    </w:rPr>
  </w:style>
  <w:style w:type="character" w:styleId="54">
    <w:name w:val="annotation reference"/>
    <w:qFormat/>
    <w:uiPriority w:val="99"/>
    <w:rPr>
      <w:sz w:val="21"/>
      <w:szCs w:val="21"/>
    </w:rPr>
  </w:style>
  <w:style w:type="paragraph" w:customStyle="1" w:styleId="55">
    <w:name w:val="列出段落2"/>
    <w:basedOn w:val="1"/>
    <w:qFormat/>
    <w:uiPriority w:val="99"/>
    <w:pPr>
      <w:widowControl w:val="0"/>
      <w:ind w:firstLine="420" w:firstLineChars="200"/>
      <w:jc w:val="both"/>
    </w:pPr>
    <w:rPr>
      <w:kern w:val="2"/>
      <w:szCs w:val="24"/>
    </w:rPr>
  </w:style>
  <w:style w:type="paragraph" w:customStyle="1" w:styleId="56">
    <w:name w:val="font8"/>
    <w:basedOn w:val="1"/>
    <w:qFormat/>
    <w:uiPriority w:val="0"/>
    <w:pPr>
      <w:spacing w:before="100" w:beforeAutospacing="1" w:after="100" w:afterAutospacing="1"/>
    </w:pPr>
    <w:rPr>
      <w:b/>
      <w:bCs/>
      <w:sz w:val="36"/>
      <w:szCs w:val="36"/>
    </w:rPr>
  </w:style>
  <w:style w:type="paragraph" w:customStyle="1" w:styleId="57">
    <w:name w:val="font5"/>
    <w:basedOn w:val="1"/>
    <w:qFormat/>
    <w:uiPriority w:val="0"/>
    <w:pPr>
      <w:spacing w:before="100" w:beforeAutospacing="1" w:after="100" w:afterAutospacing="1"/>
    </w:pPr>
    <w:rPr>
      <w:rFonts w:ascii="宋体" w:hAnsi="宋体" w:cs="宋体"/>
      <w:sz w:val="18"/>
      <w:szCs w:val="18"/>
    </w:rPr>
  </w:style>
  <w:style w:type="paragraph" w:customStyle="1" w:styleId="58">
    <w:name w:val="xl3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sz w:val="24"/>
      <w:szCs w:val="24"/>
    </w:rPr>
  </w:style>
  <w:style w:type="paragraph" w:customStyle="1" w:styleId="59">
    <w:name w:val="xl37"/>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pPr>
    <w:rPr>
      <w:rFonts w:ascii="宋体" w:hAnsi="宋体" w:cs="宋体"/>
      <w:sz w:val="24"/>
      <w:szCs w:val="24"/>
    </w:rPr>
  </w:style>
  <w:style w:type="paragraph" w:customStyle="1" w:styleId="60">
    <w:name w:val="Char Char Char Char Char1 Char"/>
    <w:basedOn w:val="1"/>
    <w:qFormat/>
    <w:uiPriority w:val="0"/>
    <w:pPr>
      <w:widowControl w:val="0"/>
      <w:jc w:val="both"/>
    </w:pPr>
    <w:rPr>
      <w:rFonts w:ascii="Tahoma" w:hAnsi="Tahoma"/>
      <w:kern w:val="2"/>
      <w:sz w:val="24"/>
    </w:rPr>
  </w:style>
  <w:style w:type="paragraph" w:customStyle="1" w:styleId="61">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62">
    <w:name w:val="样式1"/>
    <w:basedOn w:val="3"/>
    <w:qFormat/>
    <w:uiPriority w:val="0"/>
    <w:pPr>
      <w:tabs>
        <w:tab w:val="left" w:pos="420"/>
      </w:tabs>
      <w:ind w:left="420" w:hanging="420"/>
    </w:pPr>
    <w:rPr>
      <w:b/>
    </w:rPr>
  </w:style>
  <w:style w:type="paragraph" w:customStyle="1" w:styleId="63">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64">
    <w:name w:val="Char1 Char Char Char"/>
    <w:basedOn w:val="1"/>
    <w:qFormat/>
    <w:uiPriority w:val="0"/>
    <w:pPr>
      <w:widowControl w:val="0"/>
      <w:ind w:left="420" w:hanging="420"/>
      <w:jc w:val="both"/>
    </w:pPr>
    <w:rPr>
      <w:kern w:val="2"/>
      <w:sz w:val="24"/>
      <w:szCs w:val="24"/>
    </w:rPr>
  </w:style>
  <w:style w:type="paragraph" w:customStyle="1" w:styleId="65">
    <w:name w:val="xl4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66">
    <w:name w:val="p0"/>
    <w:basedOn w:val="1"/>
    <w:qFormat/>
    <w:uiPriority w:val="0"/>
    <w:pPr>
      <w:jc w:val="both"/>
    </w:pPr>
    <w:rPr>
      <w:szCs w:val="21"/>
    </w:rPr>
  </w:style>
  <w:style w:type="paragraph" w:customStyle="1" w:styleId="67">
    <w:name w:val="xl31"/>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sz w:val="24"/>
      <w:szCs w:val="24"/>
    </w:rPr>
  </w:style>
  <w:style w:type="paragraph" w:customStyle="1" w:styleId="68">
    <w:name w:val="blacklk"/>
    <w:basedOn w:val="1"/>
    <w:qFormat/>
    <w:uiPriority w:val="0"/>
    <w:pPr>
      <w:spacing w:before="100" w:beforeAutospacing="1" w:after="100" w:afterAutospacing="1"/>
    </w:pPr>
    <w:rPr>
      <w:rFonts w:ascii="宋体" w:hAnsi="宋体" w:cs="宋体"/>
      <w:sz w:val="24"/>
      <w:szCs w:val="24"/>
    </w:rPr>
  </w:style>
  <w:style w:type="paragraph" w:customStyle="1" w:styleId="69">
    <w:name w:val="xl45"/>
    <w:basedOn w:val="1"/>
    <w:qFormat/>
    <w:uiPriority w:val="0"/>
    <w:pPr>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sz w:val="36"/>
      <w:szCs w:val="36"/>
    </w:rPr>
  </w:style>
  <w:style w:type="paragraph" w:customStyle="1" w:styleId="70">
    <w:name w:val="列出段落1"/>
    <w:basedOn w:val="1"/>
    <w:link w:val="183"/>
    <w:qFormat/>
    <w:uiPriority w:val="0"/>
    <w:pPr>
      <w:ind w:firstLine="420" w:firstLineChars="200"/>
    </w:pPr>
    <w:rPr>
      <w:rFonts w:ascii="宋体" w:hAnsi="宋体"/>
      <w:sz w:val="24"/>
      <w:szCs w:val="24"/>
    </w:rPr>
  </w:style>
  <w:style w:type="paragraph" w:customStyle="1" w:styleId="71">
    <w:name w:val="1"/>
    <w:basedOn w:val="1"/>
    <w:next w:val="23"/>
    <w:qFormat/>
    <w:uiPriority w:val="0"/>
    <w:pPr>
      <w:widowControl w:val="0"/>
      <w:jc w:val="both"/>
    </w:pPr>
    <w:rPr>
      <w:rFonts w:ascii="宋体" w:hAnsi="Courier New"/>
      <w:kern w:val="2"/>
    </w:rPr>
  </w:style>
  <w:style w:type="paragraph" w:customStyle="1" w:styleId="72">
    <w:name w:val="xl46"/>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73">
    <w:name w:val="浅色网格 - 着色 31"/>
    <w:basedOn w:val="1"/>
    <w:qFormat/>
    <w:uiPriority w:val="34"/>
    <w:pPr>
      <w:widowControl w:val="0"/>
      <w:ind w:firstLine="420" w:firstLineChars="200"/>
      <w:jc w:val="both"/>
    </w:pPr>
    <w:rPr>
      <w:rFonts w:ascii="Calibri" w:hAnsi="Calibri"/>
      <w:kern w:val="2"/>
      <w:szCs w:val="22"/>
    </w:rPr>
  </w:style>
  <w:style w:type="paragraph" w:customStyle="1" w:styleId="74">
    <w:name w:val="_Style 73"/>
    <w:unhideWhenUsed/>
    <w:qFormat/>
    <w:uiPriority w:val="99"/>
    <w:rPr>
      <w:rFonts w:ascii="Times New Roman" w:hAnsi="Times New Roman" w:eastAsia="宋体" w:cs="Times New Roman"/>
      <w:sz w:val="21"/>
      <w:lang w:val="en-US" w:eastAsia="zh-CN" w:bidi="ar-SA"/>
    </w:rPr>
  </w:style>
  <w:style w:type="paragraph" w:customStyle="1" w:styleId="75">
    <w:name w:val="xl7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18"/>
      <w:szCs w:val="18"/>
    </w:rPr>
  </w:style>
  <w:style w:type="paragraph" w:customStyle="1" w:styleId="76">
    <w:name w:val="f12"/>
    <w:basedOn w:val="1"/>
    <w:qFormat/>
    <w:uiPriority w:val="0"/>
    <w:pPr>
      <w:spacing w:before="100" w:beforeAutospacing="1" w:after="100" w:afterAutospacing="1"/>
    </w:pPr>
    <w:rPr>
      <w:rFonts w:ascii="_GB2312" w:hAnsi="_GB2312"/>
      <w:color w:val="000000"/>
      <w:szCs w:val="21"/>
    </w:rPr>
  </w:style>
  <w:style w:type="paragraph" w:customStyle="1" w:styleId="77">
    <w:name w:val="xl39"/>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textAlignment w:val="top"/>
    </w:pPr>
    <w:rPr>
      <w:rFonts w:ascii="宋体" w:hAnsi="宋体" w:cs="宋体"/>
      <w:sz w:val="24"/>
      <w:szCs w:val="24"/>
    </w:rPr>
  </w:style>
  <w:style w:type="paragraph" w:customStyle="1" w:styleId="78">
    <w:name w:val="xl25"/>
    <w:basedOn w:val="1"/>
    <w:qFormat/>
    <w:uiPriority w:val="0"/>
    <w:pPr>
      <w:spacing w:before="100" w:beforeAutospacing="1" w:after="100" w:afterAutospacing="1"/>
      <w:jc w:val="right"/>
    </w:pPr>
    <w:rPr>
      <w:sz w:val="24"/>
      <w:szCs w:val="24"/>
    </w:rPr>
  </w:style>
  <w:style w:type="paragraph" w:customStyle="1" w:styleId="79">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18"/>
      <w:szCs w:val="18"/>
    </w:rPr>
  </w:style>
  <w:style w:type="paragraph" w:customStyle="1" w:styleId="80">
    <w:name w:val="Char"/>
    <w:basedOn w:val="1"/>
    <w:qFormat/>
    <w:uiPriority w:val="0"/>
    <w:pPr>
      <w:spacing w:after="160" w:line="240" w:lineRule="exact"/>
    </w:pPr>
    <w:rPr>
      <w:rFonts w:ascii="Verdana" w:hAnsi="Verdana"/>
      <w:lang w:eastAsia="en-US"/>
    </w:rPr>
  </w:style>
  <w:style w:type="paragraph" w:customStyle="1" w:styleId="81">
    <w:name w:val="xl6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sz w:val="18"/>
      <w:szCs w:val="18"/>
    </w:rPr>
  </w:style>
  <w:style w:type="paragraph" w:customStyle="1" w:styleId="82">
    <w:name w:val="xl26"/>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83">
    <w:name w:val="xl34"/>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84">
    <w:name w:val="xl6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sz w:val="18"/>
      <w:szCs w:val="18"/>
    </w:rPr>
  </w:style>
  <w:style w:type="paragraph" w:customStyle="1" w:styleId="85">
    <w:name w:val="xl65"/>
    <w:basedOn w:val="1"/>
    <w:qFormat/>
    <w:uiPriority w:val="0"/>
    <w:pPr>
      <w:spacing w:before="100" w:beforeAutospacing="1" w:after="100" w:afterAutospacing="1"/>
    </w:pPr>
    <w:rPr>
      <w:rFonts w:ascii="宋体" w:hAnsi="宋体" w:cs="宋体"/>
      <w:sz w:val="24"/>
      <w:szCs w:val="24"/>
    </w:rPr>
  </w:style>
  <w:style w:type="paragraph" w:customStyle="1" w:styleId="86">
    <w:name w:val="c03"/>
    <w:basedOn w:val="1"/>
    <w:qFormat/>
    <w:uiPriority w:val="0"/>
    <w:pPr>
      <w:spacing w:before="100" w:beforeAutospacing="1" w:after="100" w:afterAutospacing="1"/>
    </w:pPr>
    <w:rPr>
      <w:rFonts w:ascii="宋体" w:hAnsi="宋体"/>
      <w:color w:val="000000"/>
      <w:sz w:val="24"/>
      <w:szCs w:val="24"/>
    </w:rPr>
  </w:style>
  <w:style w:type="paragraph" w:customStyle="1" w:styleId="87">
    <w:name w:val="需求书2"/>
    <w:basedOn w:val="1"/>
    <w:qFormat/>
    <w:uiPriority w:val="0"/>
    <w:pPr>
      <w:widowControl w:val="0"/>
      <w:jc w:val="both"/>
    </w:pPr>
    <w:rPr>
      <w:rFonts w:ascii="宋体" w:hAnsi="宋体"/>
      <w:b/>
      <w:spacing w:val="10"/>
      <w:kern w:val="2"/>
      <w:sz w:val="24"/>
      <w:szCs w:val="24"/>
    </w:rPr>
  </w:style>
  <w:style w:type="paragraph" w:customStyle="1" w:styleId="88">
    <w:name w:val="msolistparagraph"/>
    <w:basedOn w:val="1"/>
    <w:qFormat/>
    <w:uiPriority w:val="0"/>
    <w:pPr>
      <w:spacing w:before="100" w:beforeAutospacing="1" w:after="100" w:afterAutospacing="1"/>
    </w:pPr>
    <w:rPr>
      <w:rFonts w:ascii="宋体" w:hAnsi="宋体" w:cs="宋体"/>
      <w:sz w:val="24"/>
      <w:szCs w:val="24"/>
    </w:rPr>
  </w:style>
  <w:style w:type="paragraph" w:customStyle="1" w:styleId="89">
    <w:name w:val="表格文字"/>
    <w:basedOn w:val="1"/>
    <w:qFormat/>
    <w:uiPriority w:val="0"/>
    <w:pPr>
      <w:widowControl w:val="0"/>
      <w:spacing w:before="25" w:after="25"/>
    </w:pPr>
    <w:rPr>
      <w:bCs/>
      <w:spacing w:val="10"/>
      <w:sz w:val="24"/>
    </w:rPr>
  </w:style>
  <w:style w:type="paragraph" w:customStyle="1" w:styleId="90">
    <w:name w:val="f10"/>
    <w:basedOn w:val="1"/>
    <w:qFormat/>
    <w:uiPriority w:val="0"/>
    <w:pPr>
      <w:spacing w:before="100" w:beforeAutospacing="1" w:after="100" w:afterAutospacing="1" w:line="260" w:lineRule="atLeast"/>
    </w:pPr>
    <w:rPr>
      <w:rFonts w:ascii="_GB2312" w:hAnsi="_GB2312"/>
      <w:color w:val="000000"/>
      <w:sz w:val="18"/>
      <w:szCs w:val="18"/>
    </w:rPr>
  </w:style>
  <w:style w:type="paragraph" w:customStyle="1" w:styleId="91">
    <w:name w:val="f14"/>
    <w:basedOn w:val="1"/>
    <w:qFormat/>
    <w:uiPriority w:val="0"/>
    <w:pPr>
      <w:spacing w:before="100" w:beforeAutospacing="1" w:after="100" w:afterAutospacing="1"/>
    </w:pPr>
    <w:rPr>
      <w:rFonts w:ascii="_GB2312" w:hAnsi="_GB2312"/>
      <w:color w:val="000000"/>
      <w:sz w:val="28"/>
      <w:szCs w:val="28"/>
    </w:rPr>
  </w:style>
  <w:style w:type="paragraph" w:customStyle="1" w:styleId="92">
    <w:name w:val="_Style 119"/>
    <w:next w:val="1"/>
    <w:qFormat/>
    <w:uiPriority w:val="99"/>
    <w:rPr>
      <w:rFonts w:ascii="Times New Roman" w:hAnsi="Times New Roman" w:eastAsia="宋体" w:cs="Times New Roman"/>
      <w:sz w:val="21"/>
      <w:lang w:val="en-US" w:eastAsia="zh-CN" w:bidi="ar-SA"/>
    </w:rPr>
  </w:style>
  <w:style w:type="paragraph" w:customStyle="1" w:styleId="93">
    <w:name w:val="Preformatted"/>
    <w:basedOn w:val="1"/>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sz w:val="20"/>
    </w:rPr>
  </w:style>
  <w:style w:type="paragraph" w:customStyle="1" w:styleId="94">
    <w:name w:val="题注5"/>
    <w:basedOn w:val="1"/>
    <w:next w:val="13"/>
    <w:qFormat/>
    <w:uiPriority w:val="0"/>
    <w:pPr>
      <w:widowControl w:val="0"/>
      <w:jc w:val="center"/>
    </w:pPr>
    <w:rPr>
      <w:b/>
      <w:color w:val="000000"/>
      <w:kern w:val="2"/>
      <w:sz w:val="24"/>
      <w:szCs w:val="21"/>
    </w:rPr>
  </w:style>
  <w:style w:type="paragraph" w:customStyle="1" w:styleId="95">
    <w:name w:val="Char Char Char Char Char Char Char Char Char Char"/>
    <w:basedOn w:val="1"/>
    <w:qFormat/>
    <w:uiPriority w:val="0"/>
    <w:pPr>
      <w:widowControl w:val="0"/>
      <w:jc w:val="both"/>
    </w:pPr>
    <w:rPr>
      <w:rFonts w:ascii="Tahoma" w:hAnsi="Tahoma"/>
      <w:kern w:val="2"/>
      <w:sz w:val="24"/>
    </w:rPr>
  </w:style>
  <w:style w:type="paragraph" w:customStyle="1" w:styleId="96">
    <w:name w:val="Char Char Char Char Char Char1 Char Char Char Char"/>
    <w:basedOn w:val="1"/>
    <w:qFormat/>
    <w:uiPriority w:val="0"/>
    <w:pPr>
      <w:tabs>
        <w:tab w:val="left" w:pos="360"/>
      </w:tabs>
      <w:spacing w:after="160" w:line="240" w:lineRule="exact"/>
    </w:pPr>
    <w:rPr>
      <w:kern w:val="2"/>
      <w:sz w:val="24"/>
      <w:szCs w:val="24"/>
    </w:rPr>
  </w:style>
  <w:style w:type="paragraph" w:customStyle="1" w:styleId="97">
    <w:name w:val="普通(网站)2"/>
    <w:basedOn w:val="1"/>
    <w:qFormat/>
    <w:uiPriority w:val="0"/>
    <w:pPr>
      <w:spacing w:before="100" w:beforeAutospacing="1" w:after="100" w:afterAutospacing="1"/>
      <w:jc w:val="both"/>
    </w:pPr>
    <w:rPr>
      <w:rFonts w:hAnsi="宋体"/>
      <w:kern w:val="2"/>
      <w:sz w:val="15"/>
      <w:szCs w:val="15"/>
    </w:rPr>
  </w:style>
  <w:style w:type="paragraph" w:customStyle="1" w:styleId="98">
    <w:name w:val="xl36"/>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99">
    <w:name w:val="Char Char Char Char Char Char Char Char Char Char1"/>
    <w:basedOn w:val="1"/>
    <w:qFormat/>
    <w:uiPriority w:val="0"/>
    <w:pPr>
      <w:widowControl w:val="0"/>
      <w:jc w:val="both"/>
    </w:pPr>
    <w:rPr>
      <w:rFonts w:ascii="Tahoma" w:hAnsi="Tahoma"/>
      <w:kern w:val="2"/>
      <w:sz w:val="24"/>
    </w:rPr>
  </w:style>
  <w:style w:type="paragraph" w:customStyle="1" w:styleId="100">
    <w:name w:val="xl7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18"/>
      <w:szCs w:val="18"/>
    </w:rPr>
  </w:style>
  <w:style w:type="paragraph" w:customStyle="1" w:styleId="101">
    <w:name w:val="标题四"/>
    <w:basedOn w:val="1"/>
    <w:qFormat/>
    <w:uiPriority w:val="0"/>
    <w:pPr>
      <w:widowControl w:val="0"/>
      <w:tabs>
        <w:tab w:val="left" w:pos="425"/>
      </w:tabs>
      <w:adjustRightInd w:val="0"/>
      <w:spacing w:beforeLines="50" w:afterLines="50"/>
      <w:jc w:val="both"/>
    </w:pPr>
    <w:rPr>
      <w:rFonts w:ascii="Arial" w:hAnsi="Arial"/>
      <w:b/>
      <w:bCs/>
      <w:sz w:val="24"/>
      <w:szCs w:val="24"/>
    </w:rPr>
  </w:style>
  <w:style w:type="paragraph" w:customStyle="1" w:styleId="102">
    <w:name w:val="xl2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sz w:val="24"/>
      <w:szCs w:val="24"/>
    </w:rPr>
  </w:style>
  <w:style w:type="paragraph" w:customStyle="1" w:styleId="103">
    <w:name w:val="xl7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18"/>
      <w:szCs w:val="18"/>
    </w:rPr>
  </w:style>
  <w:style w:type="paragraph" w:customStyle="1" w:styleId="104">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06">
    <w:name w:val="xl33"/>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sz w:val="24"/>
      <w:szCs w:val="24"/>
    </w:rPr>
  </w:style>
  <w:style w:type="paragraph" w:customStyle="1" w:styleId="10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8">
    <w:name w:val="xl7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sz w:val="18"/>
      <w:szCs w:val="18"/>
    </w:rPr>
  </w:style>
  <w:style w:type="paragraph" w:customStyle="1" w:styleId="109">
    <w:name w:val="Table Paragraph"/>
    <w:basedOn w:val="1"/>
    <w:qFormat/>
    <w:uiPriority w:val="1"/>
    <w:pPr>
      <w:widowControl w:val="0"/>
    </w:pPr>
    <w:rPr>
      <w:rFonts w:ascii="Calibri" w:hAnsi="Calibri"/>
      <w:sz w:val="22"/>
      <w:szCs w:val="22"/>
      <w:lang w:eastAsia="en-US"/>
    </w:rPr>
  </w:style>
  <w:style w:type="paragraph" w:customStyle="1" w:styleId="110">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111">
    <w:name w:val="xl44"/>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112">
    <w:name w:val="网格表 5 深色 - 着色 11"/>
    <w:basedOn w:val="2"/>
    <w:next w:val="1"/>
    <w:qFormat/>
    <w:uiPriority w:val="0"/>
    <w:pPr>
      <w:spacing w:before="480" w:after="0" w:line="276" w:lineRule="auto"/>
      <w:outlineLvl w:val="9"/>
    </w:pPr>
    <w:rPr>
      <w:rFonts w:ascii="Cambria" w:hAnsi="Cambria"/>
      <w:color w:val="365F91"/>
      <w:kern w:val="0"/>
      <w:sz w:val="28"/>
      <w:szCs w:val="28"/>
    </w:rPr>
  </w:style>
  <w:style w:type="paragraph" w:customStyle="1" w:styleId="113">
    <w:name w:val="xl66"/>
    <w:basedOn w:val="1"/>
    <w:qFormat/>
    <w:uiPriority w:val="0"/>
    <w:pPr>
      <w:spacing w:before="100" w:beforeAutospacing="1" w:after="100" w:afterAutospacing="1"/>
      <w:jc w:val="center"/>
    </w:pPr>
    <w:rPr>
      <w:rFonts w:ascii="宋体" w:hAnsi="宋体" w:cs="宋体"/>
      <w:sz w:val="24"/>
      <w:szCs w:val="24"/>
    </w:rPr>
  </w:style>
  <w:style w:type="paragraph" w:customStyle="1" w:styleId="114">
    <w:name w:val="浅色列表 - 着色 31"/>
    <w:semiHidden/>
    <w:qFormat/>
    <w:uiPriority w:val="99"/>
    <w:rPr>
      <w:rFonts w:ascii="Times New Roman" w:hAnsi="Times New Roman" w:eastAsia="宋体" w:cs="Times New Roman"/>
      <w:sz w:val="21"/>
      <w:lang w:val="en-US" w:eastAsia="zh-CN" w:bidi="ar-SA"/>
    </w:rPr>
  </w:style>
  <w:style w:type="paragraph" w:customStyle="1" w:styleId="115">
    <w:name w:val="Char1"/>
    <w:basedOn w:val="1"/>
    <w:qFormat/>
    <w:uiPriority w:val="0"/>
    <w:pPr>
      <w:widowControl w:val="0"/>
      <w:jc w:val="both"/>
    </w:pPr>
    <w:rPr>
      <w:kern w:val="2"/>
    </w:rPr>
  </w:style>
  <w:style w:type="paragraph" w:customStyle="1" w:styleId="116">
    <w:name w:val="Char21"/>
    <w:basedOn w:val="1"/>
    <w:qFormat/>
    <w:uiPriority w:val="0"/>
    <w:pPr>
      <w:widowControl w:val="0"/>
      <w:jc w:val="both"/>
    </w:pPr>
    <w:rPr>
      <w:rFonts w:ascii="Tahoma" w:hAnsi="Tahoma"/>
      <w:kern w:val="2"/>
      <w:sz w:val="24"/>
    </w:rPr>
  </w:style>
  <w:style w:type="paragraph" w:customStyle="1" w:styleId="117">
    <w:name w:val="f12pt1"/>
    <w:basedOn w:val="1"/>
    <w:qFormat/>
    <w:uiPriority w:val="0"/>
    <w:pPr>
      <w:spacing w:before="100" w:beforeAutospacing="1" w:after="100" w:afterAutospacing="1"/>
    </w:pPr>
    <w:rPr>
      <w:rFonts w:ascii="_GB2312" w:hAnsi="_GB2312"/>
      <w:color w:val="000000"/>
      <w:szCs w:val="21"/>
    </w:rPr>
  </w:style>
  <w:style w:type="paragraph" w:customStyle="1" w:styleId="118">
    <w:name w:val="xl35"/>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sz w:val="24"/>
      <w:szCs w:val="24"/>
    </w:rPr>
  </w:style>
  <w:style w:type="paragraph" w:customStyle="1" w:styleId="119">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
    <w:name w:val="Char Char Char Char"/>
    <w:basedOn w:val="1"/>
    <w:qFormat/>
    <w:uiPriority w:val="0"/>
    <w:pPr>
      <w:tabs>
        <w:tab w:val="left" w:pos="965"/>
      </w:tabs>
      <w:spacing w:after="160" w:line="240" w:lineRule="exact"/>
      <w:ind w:left="965" w:hanging="425"/>
    </w:pPr>
    <w:rPr>
      <w:rFonts w:ascii="Verdana" w:hAnsi="Verdana"/>
      <w:lang w:eastAsia="en-US"/>
    </w:rPr>
  </w:style>
  <w:style w:type="paragraph" w:customStyle="1" w:styleId="121">
    <w:name w:val="Char2"/>
    <w:basedOn w:val="1"/>
    <w:qFormat/>
    <w:uiPriority w:val="0"/>
    <w:rPr>
      <w:rFonts w:ascii="Tahoma" w:hAnsi="Tahoma"/>
      <w:sz w:val="24"/>
    </w:rPr>
  </w:style>
  <w:style w:type="paragraph" w:customStyle="1" w:styleId="122">
    <w:name w:val="135"/>
    <w:basedOn w:val="1"/>
    <w:qFormat/>
    <w:uiPriority w:val="0"/>
    <w:pPr>
      <w:spacing w:before="100" w:beforeAutospacing="1" w:after="100" w:afterAutospacing="1" w:line="360" w:lineRule="auto"/>
    </w:pPr>
    <w:rPr>
      <w:rFonts w:ascii="宋体" w:hAnsi="宋体"/>
      <w:color w:val="000000"/>
      <w:sz w:val="24"/>
      <w:szCs w:val="24"/>
    </w:rPr>
  </w:style>
  <w:style w:type="paragraph" w:customStyle="1" w:styleId="123">
    <w:name w:val="f11"/>
    <w:basedOn w:val="1"/>
    <w:qFormat/>
    <w:uiPriority w:val="0"/>
    <w:pPr>
      <w:spacing w:before="100" w:beforeAutospacing="1" w:after="100" w:afterAutospacing="1" w:line="320" w:lineRule="atLeast"/>
    </w:pPr>
    <w:rPr>
      <w:rFonts w:ascii="_GB2312" w:hAnsi="_GB2312"/>
      <w:color w:val="000000"/>
      <w:sz w:val="28"/>
      <w:szCs w:val="28"/>
    </w:rPr>
  </w:style>
  <w:style w:type="paragraph" w:customStyle="1" w:styleId="124">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18"/>
      <w:szCs w:val="18"/>
    </w:rPr>
  </w:style>
  <w:style w:type="paragraph" w:customStyle="1" w:styleId="125">
    <w:name w:val="xl4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sz w:val="36"/>
      <w:szCs w:val="36"/>
    </w:rPr>
  </w:style>
  <w:style w:type="paragraph" w:customStyle="1" w:styleId="126">
    <w:name w:val="150"/>
    <w:basedOn w:val="1"/>
    <w:qFormat/>
    <w:uiPriority w:val="0"/>
    <w:pPr>
      <w:spacing w:before="100" w:beforeAutospacing="1" w:after="100" w:afterAutospacing="1" w:line="360" w:lineRule="auto"/>
    </w:pPr>
    <w:rPr>
      <w:rFonts w:ascii="宋体" w:hAnsi="宋体"/>
      <w:color w:val="000000"/>
      <w:sz w:val="24"/>
      <w:szCs w:val="24"/>
    </w:rPr>
  </w:style>
  <w:style w:type="paragraph" w:customStyle="1" w:styleId="127">
    <w:name w:val="font6"/>
    <w:basedOn w:val="1"/>
    <w:qFormat/>
    <w:uiPriority w:val="0"/>
    <w:pPr>
      <w:spacing w:before="100" w:beforeAutospacing="1" w:after="100" w:afterAutospacing="1"/>
    </w:pPr>
    <w:rPr>
      <w:sz w:val="24"/>
      <w:szCs w:val="24"/>
    </w:rPr>
  </w:style>
  <w:style w:type="paragraph" w:customStyle="1" w:styleId="12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9">
    <w:name w:val="表格内容"/>
    <w:basedOn w:val="1"/>
    <w:qFormat/>
    <w:uiPriority w:val="0"/>
    <w:pPr>
      <w:widowControl w:val="0"/>
      <w:suppressLineNumbers/>
      <w:suppressAutoHyphens/>
      <w:jc w:val="both"/>
    </w:pPr>
    <w:rPr>
      <w:kern w:val="1"/>
      <w:szCs w:val="24"/>
      <w:lang w:eastAsia="ar-SA"/>
    </w:rPr>
  </w:style>
  <w:style w:type="paragraph" w:customStyle="1" w:styleId="130">
    <w:name w:val="正文缩近"/>
    <w:basedOn w:val="1"/>
    <w:qFormat/>
    <w:uiPriority w:val="0"/>
    <w:pPr>
      <w:widowControl w:val="0"/>
      <w:spacing w:line="360" w:lineRule="auto"/>
      <w:ind w:firstLine="200" w:firstLineChars="200"/>
      <w:jc w:val="both"/>
    </w:pPr>
    <w:rPr>
      <w:kern w:val="2"/>
      <w:sz w:val="24"/>
      <w:szCs w:val="24"/>
    </w:rPr>
  </w:style>
  <w:style w:type="paragraph" w:customStyle="1" w:styleId="131">
    <w:name w:val="D文1"/>
    <w:basedOn w:val="1"/>
    <w:qFormat/>
    <w:uiPriority w:val="0"/>
    <w:pPr>
      <w:widowControl w:val="0"/>
      <w:tabs>
        <w:tab w:val="left" w:pos="720"/>
      </w:tabs>
      <w:autoSpaceDE w:val="0"/>
      <w:autoSpaceDN w:val="0"/>
      <w:adjustRightInd w:val="0"/>
      <w:spacing w:after="120" w:line="480" w:lineRule="atLeast"/>
      <w:ind w:left="680" w:firstLine="510"/>
      <w:jc w:val="both"/>
    </w:pPr>
    <w:rPr>
      <w:rFonts w:ascii="宋体"/>
      <w:sz w:val="24"/>
    </w:rPr>
  </w:style>
  <w:style w:type="paragraph" w:customStyle="1" w:styleId="132">
    <w:name w:val="130"/>
    <w:basedOn w:val="1"/>
    <w:qFormat/>
    <w:uiPriority w:val="0"/>
    <w:pPr>
      <w:spacing w:before="100" w:beforeAutospacing="1" w:after="100" w:afterAutospacing="1" w:line="324" w:lineRule="auto"/>
    </w:pPr>
    <w:rPr>
      <w:rFonts w:ascii="宋体" w:hAnsi="宋体"/>
      <w:color w:val="000000"/>
      <w:sz w:val="24"/>
      <w:szCs w:val="24"/>
    </w:rPr>
  </w:style>
  <w:style w:type="paragraph" w:customStyle="1" w:styleId="133">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18"/>
      <w:szCs w:val="18"/>
    </w:rPr>
  </w:style>
  <w:style w:type="paragraph" w:customStyle="1" w:styleId="134">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4"/>
      <w:szCs w:val="24"/>
    </w:rPr>
  </w:style>
  <w:style w:type="paragraph" w:customStyle="1" w:styleId="135">
    <w:name w:val="xl41"/>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136">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18"/>
      <w:szCs w:val="18"/>
    </w:rPr>
  </w:style>
  <w:style w:type="paragraph" w:customStyle="1" w:styleId="137">
    <w:name w:val="本文正文 Char1 Char Char Char Char Char Char Char Char Char Char Char Char Char Char Char Char Char Char Char Char Char Char Char Char"/>
    <w:basedOn w:val="1"/>
    <w:link w:val="171"/>
    <w:qFormat/>
    <w:uiPriority w:val="0"/>
    <w:pPr>
      <w:spacing w:line="480" w:lineRule="exact"/>
      <w:ind w:firstLine="200" w:firstLineChars="200"/>
    </w:pPr>
    <w:rPr>
      <w:rFonts w:ascii="宋体" w:hAnsi="宋体"/>
      <w:sz w:val="24"/>
    </w:rPr>
  </w:style>
  <w:style w:type="paragraph" w:customStyle="1" w:styleId="138">
    <w:name w:val="xl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139">
    <w:name w:val="xl24"/>
    <w:basedOn w:val="1"/>
    <w:qFormat/>
    <w:uiPriority w:val="0"/>
    <w:pPr>
      <w:spacing w:before="100" w:beforeAutospacing="1" w:after="100" w:afterAutospacing="1"/>
      <w:jc w:val="center"/>
    </w:pPr>
    <w:rPr>
      <w:rFonts w:ascii="宋体" w:hAnsi="宋体" w:cs="宋体"/>
      <w:sz w:val="24"/>
      <w:szCs w:val="24"/>
    </w:rPr>
  </w:style>
  <w:style w:type="paragraph" w:customStyle="1" w:styleId="140">
    <w:name w:val="xl43"/>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141">
    <w:name w:val="xl42"/>
    <w:basedOn w:val="1"/>
    <w:qFormat/>
    <w:uiPriority w:val="0"/>
    <w:pPr>
      <w:spacing w:before="100" w:beforeAutospacing="1" w:after="100" w:afterAutospacing="1"/>
      <w:textAlignment w:val="top"/>
    </w:pPr>
    <w:rPr>
      <w:rFonts w:ascii="宋体" w:hAnsi="宋体" w:cs="宋体"/>
      <w:sz w:val="24"/>
      <w:szCs w:val="24"/>
    </w:rPr>
  </w:style>
  <w:style w:type="paragraph" w:customStyle="1" w:styleId="142">
    <w:name w:val="xl40"/>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43">
    <w:name w:val="图"/>
    <w:basedOn w:val="1"/>
    <w:qFormat/>
    <w:uiPriority w:val="0"/>
    <w:pPr>
      <w:keepNext/>
      <w:widowControl w:val="0"/>
      <w:adjustRightInd w:val="0"/>
      <w:spacing w:before="60" w:after="60" w:line="300" w:lineRule="auto"/>
      <w:jc w:val="center"/>
      <w:textAlignment w:val="center"/>
    </w:pPr>
    <w:rPr>
      <w:snapToGrid w:val="0"/>
      <w:spacing w:val="20"/>
      <w:sz w:val="24"/>
    </w:rPr>
  </w:style>
  <w:style w:type="paragraph" w:customStyle="1" w:styleId="144">
    <w:name w:val="xl6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sz w:val="18"/>
      <w:szCs w:val="18"/>
    </w:rPr>
  </w:style>
  <w:style w:type="paragraph" w:customStyle="1" w:styleId="145">
    <w:name w:val="font7"/>
    <w:basedOn w:val="1"/>
    <w:qFormat/>
    <w:uiPriority w:val="0"/>
    <w:pPr>
      <w:spacing w:before="100" w:beforeAutospacing="1" w:after="100" w:afterAutospacing="1"/>
    </w:pPr>
    <w:rPr>
      <w:rFonts w:ascii="宋体" w:hAnsi="宋体" w:cs="宋体"/>
      <w:b/>
      <w:bCs/>
      <w:sz w:val="36"/>
      <w:szCs w:val="36"/>
    </w:rPr>
  </w:style>
  <w:style w:type="paragraph" w:customStyle="1" w:styleId="146">
    <w:name w:val="表头"/>
    <w:basedOn w:val="13"/>
    <w:qFormat/>
    <w:uiPriority w:val="0"/>
    <w:pPr>
      <w:keepNext/>
      <w:keepLines/>
      <w:spacing w:before="120" w:after="120" w:line="300" w:lineRule="auto"/>
      <w:jc w:val="center"/>
      <w:textAlignment w:val="baseline"/>
    </w:pPr>
    <w:rPr>
      <w:rFonts w:ascii="Arial" w:hAnsi="Arial"/>
      <w:sz w:val="21"/>
    </w:rPr>
  </w:style>
  <w:style w:type="paragraph" w:customStyle="1" w:styleId="147">
    <w:name w:val="font0"/>
    <w:basedOn w:val="1"/>
    <w:qFormat/>
    <w:uiPriority w:val="0"/>
    <w:pPr>
      <w:spacing w:before="100" w:beforeAutospacing="1" w:after="100" w:afterAutospacing="1"/>
    </w:pPr>
    <w:rPr>
      <w:rFonts w:ascii="宋体" w:hAnsi="宋体" w:cs="宋体"/>
      <w:sz w:val="24"/>
      <w:szCs w:val="24"/>
    </w:rPr>
  </w:style>
  <w:style w:type="character" w:customStyle="1" w:styleId="148">
    <w:name w:val="apple-style-span"/>
    <w:basedOn w:val="48"/>
    <w:qFormat/>
    <w:uiPriority w:val="0"/>
  </w:style>
  <w:style w:type="character" w:customStyle="1" w:styleId="149">
    <w:name w:val="apple-converted-space"/>
    <w:qFormat/>
    <w:uiPriority w:val="0"/>
  </w:style>
  <w:style w:type="character" w:customStyle="1" w:styleId="150">
    <w:name w:val="标题 1 Char"/>
    <w:link w:val="2"/>
    <w:qFormat/>
    <w:uiPriority w:val="0"/>
    <w:rPr>
      <w:b/>
      <w:bCs/>
      <w:kern w:val="44"/>
      <w:sz w:val="44"/>
      <w:szCs w:val="44"/>
    </w:rPr>
  </w:style>
  <w:style w:type="character" w:customStyle="1" w:styleId="151">
    <w:name w:val="标题 8 Char"/>
    <w:link w:val="10"/>
    <w:qFormat/>
    <w:uiPriority w:val="0"/>
    <w:rPr>
      <w:rFonts w:ascii="Arial" w:hAnsi="Arial" w:eastAsia="黑体"/>
      <w:color w:val="000000"/>
      <w:sz w:val="24"/>
    </w:rPr>
  </w:style>
  <w:style w:type="character" w:customStyle="1" w:styleId="152">
    <w:name w:val="标题 2 Char"/>
    <w:link w:val="3"/>
    <w:qFormat/>
    <w:uiPriority w:val="0"/>
    <w:rPr>
      <w:rFonts w:ascii="宋体" w:hAnsi="Arial" w:cs="宋体"/>
      <w:sz w:val="32"/>
    </w:rPr>
  </w:style>
  <w:style w:type="character" w:customStyle="1" w:styleId="153">
    <w:name w:val="style4"/>
    <w:qFormat/>
    <w:uiPriority w:val="0"/>
  </w:style>
  <w:style w:type="character" w:customStyle="1" w:styleId="154">
    <w:name w:val="正文文本缩进 Char"/>
    <w:link w:val="19"/>
    <w:qFormat/>
    <w:uiPriority w:val="0"/>
    <w:rPr>
      <w:sz w:val="21"/>
    </w:rPr>
  </w:style>
  <w:style w:type="character" w:customStyle="1" w:styleId="155">
    <w:name w:val="p141"/>
    <w:qFormat/>
    <w:uiPriority w:val="0"/>
    <w:rPr>
      <w:sz w:val="21"/>
      <w:szCs w:val="21"/>
    </w:rPr>
  </w:style>
  <w:style w:type="character" w:customStyle="1" w:styleId="156">
    <w:name w:val="标题 Char"/>
    <w:link w:val="42"/>
    <w:qFormat/>
    <w:uiPriority w:val="0"/>
    <w:rPr>
      <w:rFonts w:ascii="Arial" w:hAnsi="Arial"/>
      <w:b/>
      <w:bCs/>
      <w:kern w:val="2"/>
      <w:sz w:val="32"/>
      <w:szCs w:val="32"/>
      <w:lang w:bidi="ar-SA"/>
    </w:rPr>
  </w:style>
  <w:style w:type="character" w:customStyle="1" w:styleId="157">
    <w:name w:val="正文文本缩进 2 Char"/>
    <w:link w:val="26"/>
    <w:qFormat/>
    <w:uiPriority w:val="0"/>
    <w:rPr>
      <w:sz w:val="21"/>
    </w:rPr>
  </w:style>
  <w:style w:type="character" w:customStyle="1" w:styleId="158">
    <w:name w:val="wf1"/>
    <w:qFormat/>
    <w:uiPriority w:val="0"/>
    <w:rPr>
      <w:rFonts w:hint="eastAsia" w:ascii="宋体" w:hAnsi="宋体" w:eastAsia="宋体"/>
      <w:sz w:val="24"/>
      <w:szCs w:val="24"/>
    </w:rPr>
  </w:style>
  <w:style w:type="character" w:customStyle="1" w:styleId="159">
    <w:name w:val="批注框文本 Char"/>
    <w:link w:val="28"/>
    <w:qFormat/>
    <w:uiPriority w:val="99"/>
    <w:rPr>
      <w:rFonts w:eastAsia="宋体"/>
      <w:sz w:val="18"/>
      <w:szCs w:val="18"/>
      <w:lang w:val="en-US" w:eastAsia="zh-CN" w:bidi="ar-SA"/>
    </w:rPr>
  </w:style>
  <w:style w:type="character" w:customStyle="1" w:styleId="160">
    <w:name w:val="Char Char1"/>
    <w:qFormat/>
    <w:uiPriority w:val="0"/>
    <w:rPr>
      <w:sz w:val="21"/>
    </w:rPr>
  </w:style>
  <w:style w:type="character" w:customStyle="1" w:styleId="161">
    <w:name w:val="日期 Char"/>
    <w:link w:val="25"/>
    <w:qFormat/>
    <w:uiPriority w:val="0"/>
    <w:rPr>
      <w:rFonts w:ascii="楷体_GB2312" w:eastAsia="楷体_GB2312"/>
      <w:kern w:val="2"/>
      <w:sz w:val="28"/>
    </w:rPr>
  </w:style>
  <w:style w:type="character" w:customStyle="1" w:styleId="162">
    <w:name w:val="标题 5 Char"/>
    <w:link w:val="7"/>
    <w:qFormat/>
    <w:uiPriority w:val="0"/>
    <w:rPr>
      <w:rFonts w:ascii="宋体" w:cs="宋体"/>
      <w:b/>
      <w:color w:val="000000"/>
      <w:sz w:val="28"/>
    </w:rPr>
  </w:style>
  <w:style w:type="character" w:customStyle="1" w:styleId="163">
    <w:name w:val="页眉 Char"/>
    <w:link w:val="30"/>
    <w:qFormat/>
    <w:uiPriority w:val="99"/>
    <w:rPr>
      <w:sz w:val="18"/>
    </w:rPr>
  </w:style>
  <w:style w:type="character" w:customStyle="1" w:styleId="164">
    <w:name w:val="标题 4 Char"/>
    <w:link w:val="6"/>
    <w:qFormat/>
    <w:uiPriority w:val="0"/>
    <w:rPr>
      <w:rFonts w:ascii="宋体" w:hAnsi="Arial" w:cs="宋体"/>
      <w:color w:val="000000"/>
      <w:sz w:val="21"/>
    </w:rPr>
  </w:style>
  <w:style w:type="character" w:customStyle="1" w:styleId="165">
    <w:name w:val="style1"/>
    <w:basedOn w:val="48"/>
    <w:qFormat/>
    <w:uiPriority w:val="0"/>
  </w:style>
  <w:style w:type="character" w:customStyle="1" w:styleId="166">
    <w:name w:val="标题 3 Char"/>
    <w:qFormat/>
    <w:uiPriority w:val="0"/>
    <w:rPr>
      <w:rFonts w:ascii="宋体" w:cs="宋体"/>
      <w:sz w:val="21"/>
    </w:rPr>
  </w:style>
  <w:style w:type="character" w:customStyle="1" w:styleId="167">
    <w:name w:val="标题 6 Char"/>
    <w:link w:val="8"/>
    <w:qFormat/>
    <w:uiPriority w:val="0"/>
    <w:rPr>
      <w:rFonts w:ascii="Arial" w:hAnsi="Arial" w:eastAsia="黑体"/>
      <w:b/>
      <w:color w:val="000000"/>
      <w:sz w:val="24"/>
    </w:rPr>
  </w:style>
  <w:style w:type="character" w:customStyle="1" w:styleId="168">
    <w:name w:val="批注主题 Char"/>
    <w:link w:val="43"/>
    <w:qFormat/>
    <w:uiPriority w:val="99"/>
    <w:rPr>
      <w:b/>
      <w:bCs/>
      <w:sz w:val="21"/>
    </w:rPr>
  </w:style>
  <w:style w:type="character" w:customStyle="1" w:styleId="169">
    <w:name w:val="正文文本 3 Char"/>
    <w:link w:val="16"/>
    <w:qFormat/>
    <w:uiPriority w:val="0"/>
    <w:rPr>
      <w:sz w:val="16"/>
      <w:szCs w:val="16"/>
    </w:rPr>
  </w:style>
  <w:style w:type="character" w:customStyle="1" w:styleId="170">
    <w:name w:val="正文缩进 Char1"/>
    <w:link w:val="4"/>
    <w:qFormat/>
    <w:uiPriority w:val="99"/>
    <w:rPr>
      <w:rFonts w:eastAsia="宋体"/>
      <w:sz w:val="21"/>
      <w:lang w:val="en-US" w:eastAsia="zh-CN" w:bidi="ar-SA"/>
    </w:rPr>
  </w:style>
  <w:style w:type="character" w:customStyle="1" w:styleId="171">
    <w:name w:val="本文正文 Char1 Char Char Char Char Char Char Char Char Char Char Char Char Char Char Char Char Char Char Char Char Char Char Char Char Char Char"/>
    <w:link w:val="137"/>
    <w:qFormat/>
    <w:uiPriority w:val="0"/>
    <w:rPr>
      <w:rFonts w:ascii="宋体" w:hAnsi="宋体"/>
      <w:kern w:val="0"/>
      <w:sz w:val="24"/>
    </w:rPr>
  </w:style>
  <w:style w:type="character" w:customStyle="1" w:styleId="172">
    <w:name w:val="标题 3 Char1"/>
    <w:link w:val="5"/>
    <w:qFormat/>
    <w:uiPriority w:val="0"/>
    <w:rPr>
      <w:rFonts w:ascii="宋体" w:cs="宋体"/>
      <w:sz w:val="21"/>
    </w:rPr>
  </w:style>
  <w:style w:type="character" w:customStyle="1" w:styleId="173">
    <w:name w:val="纯文本 Char"/>
    <w:link w:val="23"/>
    <w:qFormat/>
    <w:locked/>
    <w:uiPriority w:val="0"/>
    <w:rPr>
      <w:rFonts w:ascii="宋体" w:hAnsi="Courier New" w:eastAsia="宋体" w:cs="Courier New"/>
      <w:sz w:val="21"/>
      <w:szCs w:val="21"/>
      <w:lang w:val="en-US" w:eastAsia="zh-CN" w:bidi="ar-SA"/>
    </w:rPr>
  </w:style>
  <w:style w:type="character" w:customStyle="1" w:styleId="174">
    <w:name w:val="结束语 Char"/>
    <w:link w:val="17"/>
    <w:qFormat/>
    <w:uiPriority w:val="0"/>
    <w:rPr>
      <w:rFonts w:ascii="宋体" w:hAnsi="宋体"/>
      <w:color w:val="000000"/>
      <w:kern w:val="2"/>
      <w:sz w:val="24"/>
      <w:lang w:bidi="ar-SA"/>
    </w:rPr>
  </w:style>
  <w:style w:type="character" w:customStyle="1" w:styleId="175">
    <w:name w:val="文档结构图 Char"/>
    <w:link w:val="14"/>
    <w:qFormat/>
    <w:uiPriority w:val="0"/>
    <w:rPr>
      <w:kern w:val="2"/>
      <w:sz w:val="21"/>
      <w:shd w:val="clear" w:color="auto" w:fill="000080"/>
    </w:rPr>
  </w:style>
  <w:style w:type="character" w:customStyle="1" w:styleId="176">
    <w:name w:val="页脚 Char"/>
    <w:link w:val="29"/>
    <w:qFormat/>
    <w:uiPriority w:val="99"/>
    <w:rPr>
      <w:sz w:val="18"/>
    </w:rPr>
  </w:style>
  <w:style w:type="character" w:customStyle="1" w:styleId="177">
    <w:name w:val="Char Char23"/>
    <w:qFormat/>
    <w:uiPriority w:val="0"/>
    <w:rPr>
      <w:rFonts w:ascii="宋体" w:cs="宋体"/>
      <w:sz w:val="21"/>
    </w:rPr>
  </w:style>
  <w:style w:type="character" w:customStyle="1" w:styleId="178">
    <w:name w:val="日期 Char1"/>
    <w:semiHidden/>
    <w:qFormat/>
    <w:uiPriority w:val="99"/>
    <w:rPr>
      <w:sz w:val="21"/>
      <w:szCs w:val="21"/>
      <w:lang w:bidi="ar-SA"/>
    </w:rPr>
  </w:style>
  <w:style w:type="character" w:customStyle="1" w:styleId="179">
    <w:name w:val="HTML 预设格式 Char"/>
    <w:link w:val="40"/>
    <w:qFormat/>
    <w:uiPriority w:val="0"/>
    <w:rPr>
      <w:rFonts w:ascii="黑体" w:hAnsi="Courier New" w:eastAsia="黑体" w:cs="Courier New"/>
      <w:szCs w:val="21"/>
    </w:rPr>
  </w:style>
  <w:style w:type="character" w:customStyle="1" w:styleId="180">
    <w:name w:val="标题 9 Char"/>
    <w:link w:val="11"/>
    <w:qFormat/>
    <w:uiPriority w:val="0"/>
    <w:rPr>
      <w:rFonts w:ascii="Arial" w:hAnsi="Arial" w:eastAsia="黑体"/>
      <w:color w:val="000000"/>
      <w:sz w:val="21"/>
    </w:rPr>
  </w:style>
  <w:style w:type="character" w:customStyle="1" w:styleId="181">
    <w:name w:val="正文缩进 Char"/>
    <w:qFormat/>
    <w:uiPriority w:val="0"/>
    <w:rPr>
      <w:rFonts w:eastAsia="宋体"/>
      <w:sz w:val="21"/>
      <w:lang w:val="en-US" w:eastAsia="zh-CN" w:bidi="ar-SA"/>
    </w:rPr>
  </w:style>
  <w:style w:type="character" w:customStyle="1" w:styleId="182">
    <w:name w:val="标题 7 Char"/>
    <w:link w:val="9"/>
    <w:qFormat/>
    <w:uiPriority w:val="0"/>
    <w:rPr>
      <w:rFonts w:ascii="宋体"/>
      <w:b/>
      <w:color w:val="000000"/>
      <w:sz w:val="24"/>
    </w:rPr>
  </w:style>
  <w:style w:type="character" w:customStyle="1" w:styleId="183">
    <w:name w:val="列出段落 Char"/>
    <w:link w:val="70"/>
    <w:qFormat/>
    <w:uiPriority w:val="0"/>
    <w:rPr>
      <w:rFonts w:ascii="宋体" w:hAnsi="宋体"/>
      <w:sz w:val="24"/>
      <w:szCs w:val="24"/>
    </w:rPr>
  </w:style>
  <w:style w:type="character" w:customStyle="1" w:styleId="184">
    <w:name w:val="正文文本 Char"/>
    <w:link w:val="18"/>
    <w:qFormat/>
    <w:uiPriority w:val="0"/>
    <w:rPr>
      <w:sz w:val="21"/>
    </w:rPr>
  </w:style>
  <w:style w:type="character" w:customStyle="1" w:styleId="185">
    <w:name w:val="ll1"/>
    <w:qFormat/>
    <w:uiPriority w:val="0"/>
    <w:rPr>
      <w:spacing w:val="31680"/>
    </w:rPr>
  </w:style>
  <w:style w:type="character" w:customStyle="1" w:styleId="186">
    <w:name w:val="正文文本 2 Char"/>
    <w:link w:val="39"/>
    <w:qFormat/>
    <w:uiPriority w:val="0"/>
    <w:rPr>
      <w:sz w:val="21"/>
    </w:rPr>
  </w:style>
  <w:style w:type="character" w:customStyle="1" w:styleId="187">
    <w:name w:val="批注文字 Char"/>
    <w:link w:val="15"/>
    <w:qFormat/>
    <w:uiPriority w:val="99"/>
    <w:rPr>
      <w:sz w:val="21"/>
    </w:rPr>
  </w:style>
  <w:style w:type="character" w:customStyle="1" w:styleId="188">
    <w:name w:val="尾注文本 Char"/>
    <w:link w:val="27"/>
    <w:qFormat/>
    <w:uiPriority w:val="99"/>
    <w:rPr>
      <w:rFonts w:ascii="Calibri" w:hAnsi="Calibri"/>
      <w:kern w:val="2"/>
      <w:sz w:val="21"/>
      <w:szCs w:val="22"/>
    </w:rPr>
  </w:style>
  <w:style w:type="character" w:customStyle="1" w:styleId="189">
    <w:name w:val="正文首行缩进 Char"/>
    <w:link w:val="44"/>
    <w:qFormat/>
    <w:uiPriority w:val="0"/>
    <w:rPr>
      <w:kern w:val="2"/>
      <w:sz w:val="21"/>
      <w:szCs w:val="24"/>
      <w:lang w:bidi="ar-SA"/>
    </w:rPr>
  </w:style>
  <w:style w:type="character" w:customStyle="1" w:styleId="190">
    <w:name w:val="正文文本缩进 3 Char"/>
    <w:link w:val="36"/>
    <w:qFormat/>
    <w:uiPriority w:val="0"/>
    <w:rPr>
      <w:sz w:val="16"/>
      <w:szCs w:val="16"/>
    </w:rPr>
  </w:style>
  <w:style w:type="paragraph" w:customStyle="1" w:styleId="191">
    <w:name w:val="S-正文"/>
    <w:basedOn w:val="1"/>
    <w:qFormat/>
    <w:uiPriority w:val="0"/>
    <w:pPr>
      <w:ind w:firstLine="200" w:firstLineChars="200"/>
    </w:pPr>
    <w:rPr>
      <w:rFonts w:ascii="仿宋_GB2312" w:eastAsia="仿宋_GB2312" w:cs="宋体" w:hAnsiTheme="minorHAnsi"/>
      <w:spacing w:val="23"/>
      <w:sz w:val="32"/>
      <w:szCs w:val="21"/>
    </w:rPr>
  </w:style>
  <w:style w:type="paragraph" w:styleId="192">
    <w:name w:val="List Paragraph"/>
    <w:basedOn w:val="1"/>
    <w:qFormat/>
    <w:uiPriority w:val="34"/>
    <w:pPr>
      <w:widowControl w:val="0"/>
      <w:ind w:firstLine="420" w:firstLineChars="200"/>
      <w:jc w:val="both"/>
    </w:pPr>
    <w:rPr>
      <w:rFonts w:cs="宋体" w:asciiTheme="minorEastAsia" w:hAnsiTheme="minorHAnsi" w:eastAsiaTheme="minorEastAsia"/>
      <w:spacing w:val="23"/>
      <w:szCs w:val="21"/>
    </w:rPr>
  </w:style>
  <w:style w:type="paragraph" w:customStyle="1" w:styleId="193">
    <w:name w:val="纯文本_0"/>
    <w:basedOn w:val="1"/>
    <w:link w:val="194"/>
    <w:unhideWhenUsed/>
    <w:qFormat/>
    <w:uiPriority w:val="0"/>
    <w:rPr>
      <w:rFonts w:ascii="宋体" w:hAnsi="Courier New"/>
      <w:sz w:val="20"/>
      <w:szCs w:val="21"/>
    </w:rPr>
  </w:style>
  <w:style w:type="character" w:customStyle="1" w:styleId="194">
    <w:name w:val="纯文本 Char_0_0"/>
    <w:link w:val="193"/>
    <w:qFormat/>
    <w:locked/>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1016;&#26377;&#21457;&#24037;&#20316;\2016&#24180;&#39033;&#30446;\&#25307;&#26631;&#39033;&#30446;\&#26032;&#24314;&#25991;&#20214;&#22841;\&#24191;&#19996;&#29615;&#22659;&#20445;&#25252;&#24037;&#31243;&#32844;&#19994;&#23398;&#38498;&#23454;&#39564;&#32791;&#26448;&#37319;&#36141;&#39033;&#30446;&#65288;&#19968;&#31295;&#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广东环境保护工程职业学院实验耗材采购项目（一稿）</Template>
  <Company>Microsoft</Company>
  <Pages>53</Pages>
  <Words>5140</Words>
  <Characters>29301</Characters>
  <Lines>244</Lines>
  <Paragraphs>68</Paragraphs>
  <TotalTime>5</TotalTime>
  <ScaleCrop>false</ScaleCrop>
  <LinksUpToDate>false</LinksUpToDate>
  <CharactersWithSpaces>34373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2019-10-24T03:45:00Z</dcterms:created>
  <dc:creator>广东省机电设备招标有限公司</dc:creator>
  <cp:lastModifiedBy>广东省机电设备招标有限公司邵颖琦</cp:lastModifiedBy>
  <cp:lastPrinted>2019-10-23T09:08:00Z</cp:lastPrinted>
  <dcterms:modified xsi:type="dcterms:W3CDTF">2020-07-24T07:53:35Z</dcterms:modified>
  <dc:title>网址：www</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