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FEAA2">
      <w:pPr>
        <w:keepNext w:val="0"/>
        <w:keepLines w:val="0"/>
        <w:widowControl/>
        <w:suppressLineNumbers w:val="0"/>
        <w:jc w:val="left"/>
        <w:rPr>
          <w:rFonts w:hint="eastAsia"/>
        </w:rPr>
      </w:pPr>
      <w:r>
        <w:rPr>
          <w:rFonts w:hint="eastAsia" w:ascii="微软雅黑" w:hAnsi="微软雅黑" w:eastAsia="微软雅黑" w:cs="微软雅黑"/>
          <w:b w:val="0"/>
          <w:bCs w:val="0"/>
          <w:color w:val="1D2129"/>
          <w:kern w:val="0"/>
          <w:sz w:val="24"/>
          <w:szCs w:val="24"/>
          <w:lang w:val="en-US" w:eastAsia="zh-CN" w:bidi="ar"/>
        </w:rPr>
        <w:t>华南师范大学 2026 年“国优计划”研究生创新班香港教育实践交流项目</w:t>
      </w:r>
    </w:p>
    <w:p w14:paraId="2A3A3EDF">
      <w:pPr>
        <w:jc w:val="center"/>
        <w:rPr>
          <w:rFonts w:hint="eastAsia" w:ascii="方正仿宋_GB2312" w:hAnsi="方正仿宋_GB2312" w:eastAsia="方正仿宋_GB2312" w:cs="方正仿宋_GB2312"/>
          <w:b w:val="0"/>
          <w:bCs w:val="0"/>
          <w:sz w:val="21"/>
          <w:szCs w:val="24"/>
        </w:rPr>
      </w:pPr>
      <w:r>
        <w:rPr>
          <w:rFonts w:hint="eastAsia" w:ascii="方正仿宋_GB2312" w:hAnsi="方正仿宋_GB2312" w:eastAsia="方正仿宋_GB2312" w:cs="方正仿宋_GB2312"/>
          <w:b w:val="0"/>
          <w:bCs w:val="0"/>
          <w:sz w:val="21"/>
          <w:szCs w:val="24"/>
        </w:rPr>
        <w:t>第 2 天学习交流简报（2026.5.19）</w:t>
      </w:r>
    </w:p>
    <w:p w14:paraId="58C6341E">
      <w:pPr>
        <w:rPr>
          <w:rFonts w:hint="eastAsia"/>
        </w:rPr>
      </w:pPr>
    </w:p>
    <w:p w14:paraId="0C8561A0">
      <w:pPr>
        <w:jc w:val="center"/>
        <w:rPr>
          <w:rFonts w:hint="eastAsia"/>
        </w:rPr>
      </w:pPr>
      <w:r>
        <w:rPr>
          <w:rFonts w:hint="eastAsia" w:ascii="方正仿宋_GB2312" w:hAnsi="方正仿宋_GB2312" w:eastAsia="方正仿宋_GB2312" w:cs="方正仿宋_GB2312"/>
          <w:b w:val="0"/>
          <w:bCs w:val="0"/>
          <w:lang w:val="en-US" w:eastAsia="zh-CN"/>
        </w:rPr>
        <w:t>第一小组</w:t>
      </w:r>
    </w:p>
    <w:p w14:paraId="646BF9DE">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2026年5月19日，华南师范大学国优计划第一组的同学们继续在香港东华三院张明添中学开展教育见习活动。经过前一天的初识与交流，大家对香港中学的教学特色有了初步感知，今日带着跨学科融合与以学生为主体的教育观察视角，深入课堂与实验室，进一步体悟香港教育的实践智慧。</w:t>
      </w:r>
    </w:p>
    <w:p w14:paraId="0AA9BF5F">
      <w:pPr>
        <w:ind w:firstLine="422" w:firstLineChars="200"/>
        <w:jc w:val="center"/>
        <w:rPr>
          <w:rFonts w:hint="eastAsia" w:ascii="宋体" w:hAnsi="宋体" w:eastAsia="宋体" w:cs="宋体"/>
          <w:b/>
          <w:bCs/>
          <w:lang w:val="en-US" w:eastAsia="zh-CN"/>
        </w:rPr>
      </w:pPr>
      <w:r>
        <w:rPr>
          <w:rFonts w:hint="eastAsia" w:ascii="宋体" w:hAnsi="宋体" w:eastAsia="宋体" w:cs="宋体"/>
          <w:b/>
          <w:bCs/>
          <w:lang w:val="en-US" w:eastAsia="zh-CN"/>
        </w:rPr>
        <w:t>设计与应用科技课：气动原理的生活化教学</w:t>
      </w:r>
    </w:p>
    <w:p w14:paraId="138C75C3">
      <w:pPr>
        <w:ind w:firstLine="420" w:firstLineChars="200"/>
        <w:jc w:val="left"/>
        <w:rPr>
          <w:rFonts w:hint="eastAsia" w:ascii="宋体" w:hAnsi="宋体" w:eastAsia="宋体" w:cs="宋体"/>
          <w:b w:val="0"/>
          <w:bCs w:val="0"/>
          <w:lang w:val="en-US"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3184525</wp:posOffset>
            </wp:positionH>
            <wp:positionV relativeFrom="paragraph">
              <wp:posOffset>985520</wp:posOffset>
            </wp:positionV>
            <wp:extent cx="2087245" cy="2981325"/>
            <wp:effectExtent l="0" t="0" r="8255" b="0"/>
            <wp:wrapNone/>
            <wp:docPr id="3" name="图片 3" descr="5b4f54af817a407b1b75a53824972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b4f54af817a407b1b75a538249727b4"/>
                    <pic:cNvPicPr>
                      <a:picLocks noChangeAspect="1"/>
                    </pic:cNvPicPr>
                  </pic:nvPicPr>
                  <pic:blipFill>
                    <a:blip r:embed="rId4"/>
                    <a:stretch>
                      <a:fillRect/>
                    </a:stretch>
                  </pic:blipFill>
                  <pic:spPr>
                    <a:xfrm>
                      <a:off x="0" y="0"/>
                      <a:ext cx="2087245" cy="298132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60325</wp:posOffset>
            </wp:positionH>
            <wp:positionV relativeFrom="paragraph">
              <wp:posOffset>899160</wp:posOffset>
            </wp:positionV>
            <wp:extent cx="2984500" cy="3132455"/>
            <wp:effectExtent l="0" t="0" r="1270" b="6350"/>
            <wp:wrapNone/>
            <wp:docPr id="1" name="图片 1" descr="60047f1485f857062fba9d80064e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0047f1485f857062fba9d80064e6180"/>
                    <pic:cNvPicPr>
                      <a:picLocks noChangeAspect="1"/>
                    </pic:cNvPicPr>
                  </pic:nvPicPr>
                  <pic:blipFill>
                    <a:blip r:embed="rId5"/>
                    <a:srcRect t="15312" b="14565"/>
                    <a:stretch>
                      <a:fillRect/>
                    </a:stretch>
                  </pic:blipFill>
                  <pic:spPr>
                    <a:xfrm rot="5400000">
                      <a:off x="0" y="0"/>
                      <a:ext cx="2984500" cy="3132455"/>
                    </a:xfrm>
                    <a:prstGeom prst="rect">
                      <a:avLst/>
                    </a:prstGeom>
                  </pic:spPr>
                </pic:pic>
              </a:graphicData>
            </a:graphic>
          </wp:anchor>
        </w:drawing>
      </w:r>
      <w:r>
        <w:rPr>
          <w:rFonts w:hint="eastAsia" w:ascii="宋体" w:hAnsi="宋体" w:eastAsia="宋体" w:cs="宋体"/>
          <w:b w:val="0"/>
          <w:bCs w:val="0"/>
          <w:lang w:val="en-US" w:eastAsia="zh-CN"/>
        </w:rPr>
        <w:t>上午九时，国优计划见习小组的师生走进了设计与应用科技课堂，观摩了一节以“自动化操作中的气动技术”为主题的实践课。授课教师从生活中的常见机械装置入手，引导学生思考气体压力如何转化为动力。课堂上，教师积极提问，层层递进，结合现场实验演示气动原理，并系统讲解了气动系统的优缺点及其在工业与日常中的应用。学生们在真实情境中理解抽象概念，课堂气氛活跃，展现了技术教育与生活实际紧密结合的教学特色。</w:t>
      </w:r>
    </w:p>
    <w:p w14:paraId="37C800F8">
      <w:pPr>
        <w:ind w:firstLine="420" w:firstLineChars="200"/>
        <w:jc w:val="left"/>
        <w:rPr>
          <w:rFonts w:hint="eastAsia" w:ascii="宋体" w:hAnsi="宋体" w:eastAsia="宋体" w:cs="宋体"/>
          <w:b w:val="0"/>
          <w:bCs w:val="0"/>
          <w:lang w:val="en-US" w:eastAsia="zh-CN"/>
        </w:rPr>
      </w:pPr>
    </w:p>
    <w:p w14:paraId="3BB10E8F">
      <w:pPr>
        <w:ind w:firstLine="420" w:firstLineChars="200"/>
        <w:jc w:val="left"/>
        <w:rPr>
          <w:rFonts w:hint="eastAsia" w:ascii="宋体" w:hAnsi="宋体" w:eastAsia="宋体" w:cs="宋体"/>
          <w:b w:val="0"/>
          <w:bCs w:val="0"/>
          <w:lang w:val="en-US" w:eastAsia="zh-CN"/>
        </w:rPr>
      </w:pPr>
    </w:p>
    <w:p w14:paraId="2C7B9F79">
      <w:pPr>
        <w:ind w:firstLine="420" w:firstLineChars="200"/>
        <w:jc w:val="left"/>
        <w:rPr>
          <w:rFonts w:hint="eastAsia" w:ascii="宋体" w:hAnsi="宋体" w:eastAsia="宋体" w:cs="宋体"/>
          <w:b w:val="0"/>
          <w:bCs w:val="0"/>
          <w:lang w:val="en-US" w:eastAsia="zh-CN"/>
        </w:rPr>
      </w:pPr>
    </w:p>
    <w:p w14:paraId="1C4416E5">
      <w:pPr>
        <w:ind w:firstLine="420" w:firstLineChars="200"/>
        <w:jc w:val="left"/>
        <w:rPr>
          <w:rFonts w:hint="eastAsia" w:ascii="宋体" w:hAnsi="宋体" w:eastAsia="宋体" w:cs="宋体"/>
          <w:b w:val="0"/>
          <w:bCs w:val="0"/>
          <w:lang w:val="en-US" w:eastAsia="zh-CN"/>
        </w:rPr>
      </w:pPr>
    </w:p>
    <w:p w14:paraId="7396A36D">
      <w:pPr>
        <w:ind w:firstLine="420" w:firstLineChars="200"/>
        <w:jc w:val="left"/>
        <w:rPr>
          <w:rFonts w:hint="eastAsia" w:ascii="宋体" w:hAnsi="宋体" w:eastAsia="宋体" w:cs="宋体"/>
          <w:b w:val="0"/>
          <w:bCs w:val="0"/>
          <w:lang w:val="en-US" w:eastAsia="zh-CN"/>
        </w:rPr>
      </w:pPr>
    </w:p>
    <w:p w14:paraId="041081E5">
      <w:pPr>
        <w:ind w:firstLine="420" w:firstLineChars="200"/>
        <w:jc w:val="left"/>
        <w:rPr>
          <w:rFonts w:hint="eastAsia" w:ascii="宋体" w:hAnsi="宋体" w:eastAsia="宋体" w:cs="宋体"/>
          <w:b w:val="0"/>
          <w:bCs w:val="0"/>
          <w:lang w:val="en-US" w:eastAsia="zh-CN"/>
        </w:rPr>
      </w:pPr>
    </w:p>
    <w:p w14:paraId="2A035184">
      <w:pPr>
        <w:ind w:firstLine="420" w:firstLineChars="200"/>
        <w:jc w:val="left"/>
        <w:rPr>
          <w:rFonts w:hint="eastAsia" w:ascii="宋体" w:hAnsi="宋体" w:eastAsia="宋体" w:cs="宋体"/>
          <w:b w:val="0"/>
          <w:bCs w:val="0"/>
          <w:lang w:val="en-US" w:eastAsia="zh-CN"/>
        </w:rPr>
      </w:pPr>
    </w:p>
    <w:p w14:paraId="24A3648E">
      <w:pPr>
        <w:ind w:firstLine="420" w:firstLineChars="200"/>
        <w:jc w:val="left"/>
        <w:rPr>
          <w:rFonts w:hint="eastAsia" w:ascii="宋体" w:hAnsi="宋体" w:eastAsia="宋体" w:cs="宋体"/>
          <w:b w:val="0"/>
          <w:bCs w:val="0"/>
          <w:lang w:val="en-US" w:eastAsia="zh-CN"/>
        </w:rPr>
      </w:pPr>
    </w:p>
    <w:p w14:paraId="4503CD12">
      <w:pPr>
        <w:ind w:firstLine="420" w:firstLineChars="200"/>
        <w:jc w:val="left"/>
        <w:rPr>
          <w:rFonts w:hint="eastAsia" w:ascii="宋体" w:hAnsi="宋体" w:eastAsia="宋体" w:cs="宋体"/>
          <w:b w:val="0"/>
          <w:bCs w:val="0"/>
          <w:lang w:val="en-US" w:eastAsia="zh-CN"/>
        </w:rPr>
      </w:pPr>
    </w:p>
    <w:p w14:paraId="474C2E9D">
      <w:pPr>
        <w:ind w:firstLine="420" w:firstLineChars="200"/>
        <w:jc w:val="left"/>
        <w:rPr>
          <w:rFonts w:hint="eastAsia" w:ascii="宋体" w:hAnsi="宋体" w:eastAsia="宋体" w:cs="宋体"/>
          <w:b w:val="0"/>
          <w:bCs w:val="0"/>
          <w:lang w:val="en-US" w:eastAsia="zh-CN"/>
        </w:rPr>
      </w:pPr>
    </w:p>
    <w:p w14:paraId="1E515CC4">
      <w:pPr>
        <w:ind w:firstLine="420" w:firstLineChars="200"/>
        <w:jc w:val="left"/>
        <w:rPr>
          <w:rFonts w:hint="eastAsia" w:ascii="宋体" w:hAnsi="宋体" w:eastAsia="宋体" w:cs="宋体"/>
          <w:b w:val="0"/>
          <w:bCs w:val="0"/>
          <w:lang w:val="en-US" w:eastAsia="zh-CN"/>
        </w:rPr>
      </w:pPr>
    </w:p>
    <w:p w14:paraId="557C1C79">
      <w:pPr>
        <w:ind w:firstLine="420" w:firstLineChars="200"/>
        <w:jc w:val="left"/>
        <w:rPr>
          <w:rFonts w:hint="eastAsia" w:ascii="宋体" w:hAnsi="宋体" w:eastAsia="宋体" w:cs="宋体"/>
          <w:b w:val="0"/>
          <w:bCs w:val="0"/>
          <w:lang w:val="en-US" w:eastAsia="zh-CN"/>
        </w:rPr>
      </w:pPr>
    </w:p>
    <w:p w14:paraId="03E3F1EE">
      <w:pPr>
        <w:ind w:firstLine="420" w:firstLineChars="200"/>
        <w:jc w:val="left"/>
        <w:rPr>
          <w:rFonts w:hint="eastAsia" w:ascii="宋体" w:hAnsi="宋体" w:eastAsia="宋体" w:cs="宋体"/>
          <w:b w:val="0"/>
          <w:bCs w:val="0"/>
          <w:lang w:val="en-US" w:eastAsia="zh-CN"/>
        </w:rPr>
      </w:pPr>
    </w:p>
    <w:p w14:paraId="7C3ED024">
      <w:pPr>
        <w:ind w:firstLine="420" w:firstLineChars="200"/>
        <w:jc w:val="left"/>
        <w:rPr>
          <w:rFonts w:hint="eastAsia" w:ascii="宋体" w:hAnsi="宋体" w:eastAsia="宋体" w:cs="宋体"/>
          <w:b w:val="0"/>
          <w:bCs w:val="0"/>
          <w:lang w:val="en-US" w:eastAsia="zh-CN"/>
        </w:rPr>
      </w:pPr>
    </w:p>
    <w:p w14:paraId="0EA6B310">
      <w:pPr>
        <w:ind w:firstLine="420" w:firstLineChars="200"/>
        <w:jc w:val="left"/>
        <w:rPr>
          <w:rFonts w:hint="eastAsia" w:ascii="宋体" w:hAnsi="宋体" w:eastAsia="宋体" w:cs="宋体"/>
          <w:b w:val="0"/>
          <w:bCs w:val="0"/>
          <w:lang w:val="en-US" w:eastAsia="zh-CN"/>
        </w:rPr>
      </w:pPr>
    </w:p>
    <w:p w14:paraId="737825C5">
      <w:pPr>
        <w:ind w:firstLine="420" w:firstLineChars="20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t>图1 设计与应用科技课教师课堂教学</w:t>
      </w:r>
    </w:p>
    <w:p w14:paraId="13D4C5C5">
      <w:pPr>
        <w:ind w:firstLine="422" w:firstLineChars="200"/>
        <w:jc w:val="center"/>
        <w:rPr>
          <w:rFonts w:hint="eastAsia" w:ascii="宋体" w:hAnsi="宋体" w:eastAsia="宋体" w:cs="宋体"/>
          <w:b w:val="0"/>
          <w:bCs w:val="0"/>
          <w:lang w:val="en-US" w:eastAsia="zh-CN"/>
        </w:rPr>
      </w:pPr>
      <w:r>
        <w:rPr>
          <w:rFonts w:hint="eastAsia" w:ascii="宋体" w:hAnsi="宋体" w:eastAsia="宋体" w:cs="宋体"/>
          <w:b/>
          <w:bCs/>
          <w:lang w:val="en-US" w:eastAsia="zh-CN"/>
        </w:rPr>
        <w:t>数学课堂：排列组合中的智慧互动</w:t>
      </w:r>
    </w:p>
    <w:p w14:paraId="213A9D9C">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anchor distT="0" distB="0" distL="114300" distR="114300" simplePos="0" relativeHeight="251662336" behindDoc="0" locked="0" layoutInCell="1" allowOverlap="1">
            <wp:simplePos x="0" y="0"/>
            <wp:positionH relativeFrom="column">
              <wp:posOffset>2116455</wp:posOffset>
            </wp:positionH>
            <wp:positionV relativeFrom="paragraph">
              <wp:posOffset>289560</wp:posOffset>
            </wp:positionV>
            <wp:extent cx="1346200" cy="2394585"/>
            <wp:effectExtent l="0" t="0" r="5715" b="6350"/>
            <wp:wrapNone/>
            <wp:docPr id="2" name="图片 2" descr="038e9b044531b7fffe8b5ecc01480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8e9b044531b7fffe8b5ecc0148027a"/>
                    <pic:cNvPicPr>
                      <a:picLocks noChangeAspect="1"/>
                    </pic:cNvPicPr>
                  </pic:nvPicPr>
                  <pic:blipFill>
                    <a:blip r:embed="rId6"/>
                    <a:stretch>
                      <a:fillRect/>
                    </a:stretch>
                  </pic:blipFill>
                  <pic:spPr>
                    <a:xfrm rot="5400000">
                      <a:off x="0" y="0"/>
                      <a:ext cx="1346200" cy="2394585"/>
                    </a:xfrm>
                    <a:prstGeom prst="rect">
                      <a:avLst/>
                    </a:prstGeom>
                  </pic:spPr>
                </pic:pic>
              </a:graphicData>
            </a:graphic>
          </wp:anchor>
        </w:drawing>
      </w:r>
      <w:r>
        <w:rPr>
          <w:rFonts w:hint="eastAsia" w:ascii="宋体" w:hAnsi="宋体" w:eastAsia="宋体" w:cs="宋体"/>
          <w:b w:val="0"/>
          <w:bCs w:val="0"/>
          <w:lang w:val="en-US" w:eastAsia="zh-CN"/>
        </w:rPr>
        <w:t>第二节观摩的是数学课，主题为排列与组合。授课教师充分运用教学APP，实现课堂实时联动，学生积极回答教师的问题、参与随机分组与限时解题挑战，教师即时获取反馈并调整讲解重点。整堂课以学生为主体，极大调动了同学们的积极性与参与度。信息技术赋能传统数学教学，不仅提升了课堂效率，更让抽象的数学思维变得可视、可触、可互动。</w:t>
      </w:r>
    </w:p>
    <w:p w14:paraId="2574E319">
      <w:pPr>
        <w:ind w:firstLine="420" w:firstLineChars="200"/>
        <w:jc w:val="left"/>
        <w:rPr>
          <w:rFonts w:hint="eastAsia" w:ascii="宋体" w:hAnsi="宋体" w:eastAsia="宋体" w:cs="宋体"/>
          <w:b w:val="0"/>
          <w:bCs w:val="0"/>
          <w:lang w:val="en-US" w:eastAsia="zh-CN"/>
        </w:rPr>
      </w:pPr>
    </w:p>
    <w:p w14:paraId="43117862">
      <w:pPr>
        <w:ind w:firstLine="420" w:firstLineChars="200"/>
        <w:jc w:val="left"/>
        <w:rPr>
          <w:rFonts w:hint="eastAsia" w:ascii="宋体" w:hAnsi="宋体" w:eastAsia="宋体" w:cs="宋体"/>
          <w:b w:val="0"/>
          <w:bCs w:val="0"/>
          <w:lang w:val="en-US" w:eastAsia="zh-CN"/>
        </w:rPr>
      </w:pPr>
    </w:p>
    <w:p w14:paraId="25852103">
      <w:pPr>
        <w:ind w:firstLine="420" w:firstLineChars="200"/>
        <w:jc w:val="left"/>
        <w:rPr>
          <w:rFonts w:hint="eastAsia" w:ascii="宋体" w:hAnsi="宋体" w:eastAsia="宋体" w:cs="宋体"/>
          <w:b w:val="0"/>
          <w:bCs w:val="0"/>
          <w:lang w:val="en-US" w:eastAsia="zh-CN"/>
        </w:rPr>
      </w:pPr>
    </w:p>
    <w:p w14:paraId="5726CA8B">
      <w:pPr>
        <w:ind w:firstLine="420" w:firstLineChars="200"/>
        <w:jc w:val="center"/>
        <w:rPr>
          <w:rFonts w:hint="eastAsia" w:ascii="宋体" w:hAnsi="宋体" w:eastAsia="宋体" w:cs="宋体"/>
          <w:b w:val="0"/>
          <w:bCs w:val="0"/>
          <w:lang w:val="en-US" w:eastAsia="zh-CN"/>
        </w:rPr>
      </w:pPr>
    </w:p>
    <w:p w14:paraId="5AF7B9C5">
      <w:pPr>
        <w:ind w:firstLine="420" w:firstLineChars="200"/>
        <w:jc w:val="center"/>
        <w:rPr>
          <w:rFonts w:hint="eastAsia" w:ascii="宋体" w:hAnsi="宋体" w:eastAsia="宋体" w:cs="宋体"/>
          <w:b w:val="0"/>
          <w:bCs w:val="0"/>
          <w:lang w:val="en-US" w:eastAsia="zh-CN"/>
        </w:rPr>
      </w:pPr>
    </w:p>
    <w:p w14:paraId="25482941">
      <w:pPr>
        <w:ind w:firstLine="420" w:firstLineChars="200"/>
        <w:jc w:val="center"/>
        <w:rPr>
          <w:rFonts w:hint="eastAsia" w:ascii="宋体" w:hAnsi="宋体" w:eastAsia="宋体" w:cs="宋体"/>
          <w:b w:val="0"/>
          <w:bCs w:val="0"/>
          <w:lang w:val="en-US" w:eastAsia="zh-CN"/>
        </w:rPr>
      </w:pPr>
    </w:p>
    <w:p w14:paraId="40D8FF3C">
      <w:pPr>
        <w:ind w:firstLine="420" w:firstLineChars="200"/>
        <w:jc w:val="center"/>
        <w:rPr>
          <w:rFonts w:hint="eastAsia" w:ascii="宋体" w:hAnsi="宋体" w:eastAsia="宋体" w:cs="宋体"/>
          <w:b w:val="0"/>
          <w:bCs w:val="0"/>
          <w:lang w:val="en-US" w:eastAsia="zh-CN"/>
        </w:rPr>
      </w:pPr>
    </w:p>
    <w:p w14:paraId="00A8F3E0">
      <w:pPr>
        <w:ind w:firstLine="422" w:firstLineChars="200"/>
        <w:jc w:val="center"/>
        <w:rPr>
          <w:rFonts w:hint="eastAsia" w:ascii="宋体" w:hAnsi="宋体" w:eastAsia="宋体" w:cs="宋体"/>
          <w:b w:val="0"/>
          <w:bCs w:val="0"/>
          <w:lang w:val="en-US" w:eastAsia="zh-CN"/>
        </w:rPr>
      </w:pPr>
      <w:r>
        <w:rPr>
          <w:rFonts w:hint="eastAsia" w:ascii="宋体" w:hAnsi="宋体" w:eastAsia="宋体" w:cs="宋体"/>
          <w:b/>
          <w:bCs/>
          <w:lang w:val="en-US" w:eastAsia="zh-CN"/>
        </w:rPr>
        <w:t>图2 数学课堂</w:t>
      </w:r>
    </w:p>
    <w:p w14:paraId="52DB571C">
      <w:pPr>
        <w:ind w:firstLine="422" w:firstLineChars="200"/>
        <w:jc w:val="center"/>
        <w:rPr>
          <w:rFonts w:hint="eastAsia" w:ascii="宋体" w:hAnsi="宋体" w:eastAsia="宋体" w:cs="宋体"/>
          <w:b/>
          <w:bCs/>
          <w:lang w:val="en-US" w:eastAsia="zh-CN"/>
        </w:rPr>
      </w:pPr>
      <w:r>
        <w:rPr>
          <w:rFonts w:hint="eastAsia" w:ascii="宋体" w:hAnsi="宋体" w:eastAsia="宋体" w:cs="宋体"/>
          <w:b/>
          <w:bCs/>
          <w:lang w:val="en-US" w:eastAsia="zh-CN"/>
        </w:rPr>
        <w:t>STEM教室：实践能力与创新思维的集中呈现</w:t>
      </w:r>
    </w:p>
    <w:p w14:paraId="24B8F624">
      <w:pPr>
        <w:ind w:firstLine="420" w:firstLineChars="200"/>
        <w:jc w:val="left"/>
        <w:rPr>
          <w:rFonts w:hint="eastAsia" w:ascii="宋体" w:hAnsi="宋体" w:eastAsia="宋体" w:cs="宋体"/>
          <w:b w:val="0"/>
          <w:bCs w:val="0"/>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-70485</wp:posOffset>
            </wp:positionH>
            <wp:positionV relativeFrom="paragraph">
              <wp:posOffset>1120140</wp:posOffset>
            </wp:positionV>
            <wp:extent cx="5266690" cy="2432050"/>
            <wp:effectExtent l="0" t="0" r="635" b="6350"/>
            <wp:wrapSquare wrapText="bothSides"/>
            <wp:docPr id="10" name="图片 10" descr="66640d72b568aeb5b1d6cbd1bd5ea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640d72b568aeb5b1d6cbd1bd5ea7ce"/>
                    <pic:cNvPicPr>
                      <a:picLocks noChangeAspect="1"/>
                    </pic:cNvPicPr>
                  </pic:nvPicPr>
                  <pic:blipFill>
                    <a:blip r:embed="rId7"/>
                    <a:stretch>
                      <a:fillRect/>
                    </a:stretch>
                  </pic:blipFill>
                  <pic:spPr>
                    <a:xfrm>
                      <a:off x="0" y="0"/>
                      <a:ext cx="5266690" cy="2432050"/>
                    </a:xfrm>
                    <a:prstGeom prst="rect">
                      <a:avLst/>
                    </a:prstGeom>
                  </pic:spPr>
                </pic:pic>
              </a:graphicData>
            </a:graphic>
          </wp:anchor>
        </w:drawing>
      </w:r>
      <w:r>
        <w:rPr>
          <w:rFonts w:hint="eastAsia" w:ascii="宋体" w:hAnsi="宋体" w:eastAsia="宋体" w:cs="宋体"/>
          <w:b w:val="0"/>
          <w:bCs w:val="0"/>
          <w:lang w:val="en-US" w:eastAsia="zh-CN"/>
        </w:rPr>
        <w:t>课后，在学科老师的带领下，第一组的师生参观了学校的STEM教室。教室内陈列着学生自主设计与编程的作品，从智能给药装置到环境温湿度与风速监测装置，体现了学生扎实的动手能力与编程素养。更令人印象深刻的是指导教师知识储备之丰富、引导之专业，为学生提供了广阔而深入的探究空间。STEM教育在这里不再是口号，而是落在每一次调试、每一行代码、每一件作品之中。</w:t>
      </w:r>
    </w:p>
    <w:p w14:paraId="576C26D4">
      <w:pPr>
        <w:ind w:firstLine="420" w:firstLineChars="200"/>
        <w:jc w:val="center"/>
        <w:rPr>
          <w:rFonts w:hint="default" w:ascii="宋体" w:hAnsi="宋体" w:eastAsia="宋体" w:cs="宋体"/>
          <w:b/>
          <w:bCs/>
          <w:lang w:val="en-US" w:eastAsia="zh-CN"/>
        </w:rPr>
      </w:pPr>
      <w:r>
        <w:rPr>
          <w:rFonts w:hint="eastAsia" w:ascii="黑体" w:hAnsi="黑体" w:eastAsia="黑体" w:cs="黑体"/>
          <w:b w:val="0"/>
          <w:bCs w:val="0"/>
          <w:lang w:val="en-US" w:eastAsia="zh-CN"/>
        </w:rPr>
        <w:t>图3 学生讲解自主设计的作品</w:t>
      </w:r>
    </w:p>
    <w:p w14:paraId="0D7FB9DF">
      <w:pPr>
        <w:jc w:val="center"/>
        <w:rPr>
          <w:rFonts w:hint="eastAsia" w:ascii="宋体" w:hAnsi="宋体" w:eastAsia="宋体" w:cs="宋体"/>
          <w:b w:val="0"/>
          <w:bCs w:val="0"/>
          <w:lang w:val="en-US" w:eastAsia="zh-CN"/>
        </w:rPr>
      </w:pPr>
      <w:r>
        <w:rPr>
          <w:rFonts w:hint="eastAsia" w:ascii="宋体" w:hAnsi="宋体" w:eastAsia="宋体" w:cs="宋体"/>
          <w:b/>
          <w:bCs/>
          <w:lang w:val="en-US" w:eastAsia="zh-CN"/>
        </w:rPr>
        <w:t>学科交流：知无不言的师生座谈</w:t>
      </w:r>
    </w:p>
    <w:p w14:paraId="64F62976">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参观结束后，第一组师生与设计与应用科技、数学、STEM学科等教师在会议室进行座谈。老师们围绕课程设计、跨学科整合、AI与现代教学的联动应用等话题，知无不言、言无不尽，老师们耐心解答国优计划同学们提出的各种教学实际问题。大家在轻松而深入的交流中，收获了许多可迁移的教学策略与育人理念。</w:t>
      </w:r>
    </w:p>
    <w:p w14:paraId="541C8C4A">
      <w:pPr>
        <w:ind w:firstLine="420" w:firstLineChars="200"/>
        <w:jc w:val="left"/>
        <w:rPr>
          <w:rFonts w:hint="eastAsia" w:ascii="宋体" w:hAnsi="宋体" w:eastAsia="宋体" w:cs="宋体"/>
          <w:b w:val="0"/>
          <w:bCs w:val="0"/>
          <w:lang w:val="en-US" w:eastAsia="zh-CN"/>
        </w:rPr>
      </w:pPr>
    </w:p>
    <w:p w14:paraId="348172B4">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inline distT="0" distB="0" distL="114300" distR="114300">
            <wp:extent cx="5265420" cy="2430780"/>
            <wp:effectExtent l="0" t="0" r="1905" b="7620"/>
            <wp:docPr id="8" name="图片 8" descr="4efefe70e20ef13e64fa144e349a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fefe70e20ef13e64fa144e349a2548"/>
                    <pic:cNvPicPr>
                      <a:picLocks noChangeAspect="1"/>
                    </pic:cNvPicPr>
                  </pic:nvPicPr>
                  <pic:blipFill>
                    <a:blip r:embed="rId8"/>
                    <a:stretch>
                      <a:fillRect/>
                    </a:stretch>
                  </pic:blipFill>
                  <pic:spPr>
                    <a:xfrm>
                      <a:off x="0" y="0"/>
                      <a:ext cx="5265420" cy="2430780"/>
                    </a:xfrm>
                    <a:prstGeom prst="rect">
                      <a:avLst/>
                    </a:prstGeom>
                  </pic:spPr>
                </pic:pic>
              </a:graphicData>
            </a:graphic>
          </wp:inline>
        </w:drawing>
      </w:r>
      <w:bookmarkStart w:id="0" w:name="_GoBack"/>
      <w:bookmarkEnd w:id="0"/>
    </w:p>
    <w:p w14:paraId="00BDEFEF">
      <w:pPr>
        <w:ind w:firstLine="420" w:firstLineChars="20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t>图4 老师与国优计划研究生交流教育心得</w:t>
      </w:r>
    </w:p>
    <w:p w14:paraId="5F96A9C3">
      <w:pPr>
        <w:jc w:val="center"/>
        <w:rPr>
          <w:rFonts w:hint="default" w:ascii="宋体" w:hAnsi="宋体" w:eastAsia="宋体" w:cs="宋体"/>
          <w:b w:val="0"/>
          <w:bCs w:val="0"/>
          <w:lang w:val="en-US" w:eastAsia="zh-CN"/>
        </w:rPr>
      </w:pPr>
      <w:r>
        <w:rPr>
          <w:rFonts w:hint="eastAsia" w:ascii="宋体" w:hAnsi="宋体" w:eastAsia="宋体" w:cs="宋体"/>
          <w:b/>
          <w:bCs/>
          <w:lang w:val="en-US" w:eastAsia="zh-CN"/>
        </w:rPr>
        <w:t>校园人文：丰富的课后生活</w:t>
      </w:r>
    </w:p>
    <w:p w14:paraId="0E5D32E9">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见习尾声，国优计划的研究生们还体验了学校独具特色的课后趣味活动——品尝学生亲手制作的手搓咖啡，观看与体验了沙画创作。这些细节折射出学校深厚的人文关怀：关注学生学业成长的同时，也珍视每一个孩子的生活趣味与艺术表达，真正立足于学生的全面素质发展。</w:t>
      </w:r>
    </w:p>
    <w:p w14:paraId="29C141D0">
      <w:pPr>
        <w:ind w:firstLine="420" w:firstLineChars="200"/>
        <w:jc w:val="left"/>
        <w:rPr>
          <w:rFonts w:hint="eastAsia" w:ascii="宋体" w:hAnsi="宋体" w:eastAsia="宋体" w:cs="宋体"/>
          <w:b w:val="0"/>
          <w:bCs w:val="0"/>
          <w:lang w:val="en-US" w:eastAsia="zh-CN"/>
        </w:rPr>
      </w:pPr>
    </w:p>
    <w:p w14:paraId="3C4460C6">
      <w:pPr>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inline distT="0" distB="0" distL="114300" distR="114300">
            <wp:extent cx="2504440" cy="1878330"/>
            <wp:effectExtent l="0" t="0" r="635" b="7620"/>
            <wp:docPr id="6" name="图片 6" descr="527b1b9de7926c5e8a91b24d9cb91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7b1b9de7926c5e8a91b24d9cb9131d"/>
                    <pic:cNvPicPr>
                      <a:picLocks noChangeAspect="1"/>
                    </pic:cNvPicPr>
                  </pic:nvPicPr>
                  <pic:blipFill>
                    <a:blip r:embed="rId9"/>
                    <a:stretch>
                      <a:fillRect/>
                    </a:stretch>
                  </pic:blipFill>
                  <pic:spPr>
                    <a:xfrm>
                      <a:off x="0" y="0"/>
                      <a:ext cx="2504440" cy="1878330"/>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482850" cy="1862455"/>
            <wp:effectExtent l="0" t="0" r="3175" b="4445"/>
            <wp:docPr id="4" name="图片 4" descr="67599184b9ca74220571ea29a906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7599184b9ca74220571ea29a906d578"/>
                    <pic:cNvPicPr>
                      <a:picLocks noChangeAspect="1"/>
                    </pic:cNvPicPr>
                  </pic:nvPicPr>
                  <pic:blipFill>
                    <a:blip r:embed="rId10"/>
                    <a:stretch>
                      <a:fillRect/>
                    </a:stretch>
                  </pic:blipFill>
                  <pic:spPr>
                    <a:xfrm>
                      <a:off x="0" y="0"/>
                      <a:ext cx="2482850" cy="1862455"/>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516505" cy="1887220"/>
            <wp:effectExtent l="0" t="0" r="7620" b="8255"/>
            <wp:docPr id="5" name="图片 5" descr="2f4709cf6ca84d7efccf7919fe18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f4709cf6ca84d7efccf7919fe180577"/>
                    <pic:cNvPicPr>
                      <a:picLocks noChangeAspect="1"/>
                    </pic:cNvPicPr>
                  </pic:nvPicPr>
                  <pic:blipFill>
                    <a:blip r:embed="rId11"/>
                    <a:stretch>
                      <a:fillRect/>
                    </a:stretch>
                  </pic:blipFill>
                  <pic:spPr>
                    <a:xfrm>
                      <a:off x="0" y="0"/>
                      <a:ext cx="2516505" cy="1887220"/>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509520" cy="1882140"/>
            <wp:effectExtent l="0" t="0" r="5080" b="3810"/>
            <wp:docPr id="7" name="图片 7" descr="5cb0ed2b8a6245b85c5faef1640cd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cb0ed2b8a6245b85c5faef1640cdafd"/>
                    <pic:cNvPicPr>
                      <a:picLocks noChangeAspect="1"/>
                    </pic:cNvPicPr>
                  </pic:nvPicPr>
                  <pic:blipFill>
                    <a:blip r:embed="rId12"/>
                    <a:stretch>
                      <a:fillRect/>
                    </a:stretch>
                  </pic:blipFill>
                  <pic:spPr>
                    <a:xfrm>
                      <a:off x="0" y="0"/>
                      <a:ext cx="2509520" cy="1882140"/>
                    </a:xfrm>
                    <a:prstGeom prst="rect">
                      <a:avLst/>
                    </a:prstGeom>
                  </pic:spPr>
                </pic:pic>
              </a:graphicData>
            </a:graphic>
          </wp:inline>
        </w:drawing>
      </w:r>
    </w:p>
    <w:p w14:paraId="02453611">
      <w:pPr>
        <w:ind w:firstLine="420" w:firstLineChars="20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t>图5 同学们自制的咖啡、烹饪、沙画与蜡烛</w:t>
      </w:r>
    </w:p>
    <w:p w14:paraId="36B47271">
      <w:pPr>
        <w:ind w:firstLine="420" w:firstLineChars="200"/>
        <w:jc w:val="left"/>
      </w:pPr>
      <w:r>
        <w:rPr>
          <w:rFonts w:hint="eastAsia" w:ascii="宋体" w:hAnsi="宋体" w:eastAsia="宋体" w:cs="宋体"/>
          <w:b w:val="0"/>
          <w:bCs w:val="0"/>
          <w:lang w:val="en-US" w:eastAsia="zh-CN"/>
        </w:rPr>
        <w:t>今日的见习行程充实而多元，从科技课堂到数学互动，从STEM探究到人文体验，同学们在跨学科的碰撞中深化了对“以学生为主体”的理解。教育之美，既在严谨的思维训练中，也在温暖的成长陪伴里。期待后续更丰富的交流与学习，为教育之</w:t>
      </w:r>
      <w:r>
        <w:rPr>
          <w:rFonts w:hint="eastAsia"/>
        </w:rPr>
        <w:t>路积蓄更多前行的力量。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ED9862-01D3-40DE-9C33-3B4B81CD68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A6CC6D2-A0F8-4A97-9265-1433E8639F28}"/>
  </w:font>
  <w:font w:name="微软雅黑">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3" w:fontKey="{8668E510-FC9B-4B48-9744-BCD4F38CEE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B5652B"/>
    <w:rsid w:val="22B5652B"/>
    <w:rsid w:val="7B374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1205</Words>
  <Characters>1238</Characters>
  <Lines>0</Lines>
  <Paragraphs>0</Paragraphs>
  <TotalTime>4</TotalTime>
  <ScaleCrop>false</ScaleCrop>
  <LinksUpToDate>false</LinksUpToDate>
  <CharactersWithSpaces>1246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2026-05-19T14:29:00Z</dcterms:created>
  <dc:creator>林慧玲</dc:creator>
  <cp:lastModifiedBy>林慧玲</cp:lastModifiedBy>
  <dcterms:modified xsi:type="dcterms:W3CDTF">2026-05-19T15:21:36Z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3FCC20808E6344B88EC23A2398C676B9_11</vt:lpwstr>
  </property>
  <property fmtid="{D5CDD505-2E9C-101B-9397-08002B2CF9AE}" pid="4" name="KSOTemplateDocerSaveRecord">
    <vt:lpwstr>eyJoZGlkIjoiZThmNjAzMWJlZjFkMmQwODUwMTJkYzE2ODFiYmFmYTciLCJ1c2VySWQiOiI4MTM5NzUyMzkifQ==</vt:lpwstr>
  </property>
</Properties>
</file>