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42" w:rsidRDefault="00935A42">
      <w:pPr>
        <w:spacing w:before="100" w:beforeAutospacing="1" w:after="100" w:afterAutospacing="1" w:line="360" w:lineRule="auto"/>
        <w:ind w:firstLineChars="400" w:firstLine="1767"/>
        <w:rPr>
          <w:rFonts w:ascii="宋体" w:eastAsia="宋体" w:hAnsi="宋体"/>
          <w:b/>
          <w:color w:val="C00000"/>
          <w:sz w:val="44"/>
          <w:szCs w:val="44"/>
        </w:rPr>
      </w:pPr>
    </w:p>
    <w:p w:rsidR="00935A42" w:rsidRDefault="00456D52">
      <w:pPr>
        <w:spacing w:before="100" w:beforeAutospacing="1" w:after="100" w:afterAutospacing="1" w:line="360" w:lineRule="auto"/>
        <w:ind w:firstLineChars="400" w:firstLine="1767"/>
        <w:rPr>
          <w:rFonts w:ascii="宋体" w:eastAsia="宋体" w:hAnsi="宋体"/>
          <w:b/>
          <w:color w:val="C00000"/>
          <w:sz w:val="44"/>
          <w:szCs w:val="44"/>
        </w:rPr>
      </w:pPr>
      <w:r>
        <w:rPr>
          <w:rFonts w:ascii="宋体" w:eastAsia="宋体" w:hAnsi="宋体" w:hint="eastAsia"/>
          <w:b/>
          <w:color w:val="C00000"/>
          <w:sz w:val="44"/>
          <w:szCs w:val="44"/>
        </w:rPr>
        <w:t>听信息素养课  领学时证明</w:t>
      </w:r>
    </w:p>
    <w:p w:rsidR="00935A42" w:rsidRDefault="00935A42">
      <w:pPr>
        <w:spacing w:before="100" w:beforeAutospacing="1" w:after="100" w:afterAutospacing="1" w:line="360" w:lineRule="auto"/>
        <w:ind w:firstLineChars="300" w:firstLine="1325"/>
        <w:jc w:val="center"/>
        <w:rPr>
          <w:rFonts w:ascii="宋体" w:eastAsia="宋体" w:hAnsi="宋体"/>
          <w:b/>
          <w:color w:val="C00000"/>
          <w:sz w:val="44"/>
          <w:szCs w:val="44"/>
        </w:rPr>
      </w:pPr>
    </w:p>
    <w:p w:rsidR="00935A42" w:rsidRDefault="00456D52">
      <w:pPr>
        <w:spacing w:before="100" w:beforeAutospacing="1" w:after="100" w:afterAutospacing="1"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 xml:space="preserve">  国研网经济信息素养系列培训</w:t>
      </w:r>
    </w:p>
    <w:p w:rsidR="00935A42" w:rsidRDefault="00456D52">
      <w:pPr>
        <w:spacing w:before="100" w:beforeAutospacing="1" w:after="100" w:afterAutospacing="1" w:line="360" w:lineRule="auto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 xml:space="preserve">                     ——文献篇（第二期）</w:t>
      </w:r>
    </w:p>
    <w:p w:rsidR="00935A42" w:rsidRDefault="00456D52">
      <w:pPr>
        <w:spacing w:before="100" w:beforeAutospacing="1" w:after="100" w:afterAutospacing="1"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29460" cy="418465"/>
            <wp:effectExtent l="0" t="0" r="8890" b="635"/>
            <wp:docPr id="12" name="图片 12" descr="https://statics.xiumi.us/stc/images/templates-assets/tpl-paper/image/a83d1b444a0981a31a5be995bba8b54c-sz_9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https://statics.xiumi.us/stc/images/templates-assets/tpl-paper/image/a83d1b444a0981a31a5be995bba8b54c-sz_99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42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29460" cy="418465"/>
            <wp:effectExtent l="0" t="0" r="8890" b="635"/>
            <wp:docPr id="11" name="图片 11" descr="https://statics.xiumi.us/stc/images/templates-assets/tpl-paper/image/a83d1b444a0981a31a5be995bba8b54c-sz_99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https://statics.xiumi.us/stc/images/templates-assets/tpl-paper/image/a83d1b444a0981a31a5be995bba8b54c-sz_99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42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A42" w:rsidRDefault="00456D52">
      <w:pPr>
        <w:spacing w:line="360" w:lineRule="auto"/>
        <w:ind w:firstLineChars="100" w:firstLine="24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当前我国经济发展进入新常态</w:t>
      </w:r>
    </w:p>
    <w:p w:rsidR="00935A42" w:rsidRDefault="00456D52">
      <w:pPr>
        <w:spacing w:line="360" w:lineRule="auto"/>
        <w:ind w:firstLineChars="100" w:firstLine="24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已由高速增长转向高质量发展阶段</w:t>
      </w:r>
    </w:p>
    <w:p w:rsidR="00935A42" w:rsidRDefault="00456D52">
      <w:pPr>
        <w:spacing w:line="360" w:lineRule="auto"/>
        <w:ind w:firstLineChars="100" w:firstLine="24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面对当今世界百年未有之大变局</w:t>
      </w:r>
    </w:p>
    <w:p w:rsidR="00935A42" w:rsidRDefault="00456D52">
      <w:pPr>
        <w:spacing w:line="360" w:lineRule="auto"/>
        <w:ind w:firstLineChars="100" w:firstLine="24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我国供给侧结构性改革不断深化</w:t>
      </w:r>
    </w:p>
    <w:p w:rsidR="00935A42" w:rsidRDefault="00456D52">
      <w:pPr>
        <w:spacing w:line="360" w:lineRule="auto"/>
        <w:ind w:firstLineChars="100" w:firstLine="24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创新引领持续增强,新动能较快增长</w:t>
      </w:r>
    </w:p>
    <w:p w:rsidR="00935A42" w:rsidRDefault="00456D52">
      <w:pPr>
        <w:spacing w:line="360" w:lineRule="auto"/>
        <w:ind w:firstLineChars="100" w:firstLine="24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产业结构调整优化,经济转型升级取得新进展</w:t>
      </w:r>
    </w:p>
    <w:p w:rsidR="00935A42" w:rsidRDefault="00456D52">
      <w:pPr>
        <w:ind w:firstLineChars="300" w:firstLine="720"/>
        <w:jc w:val="center"/>
        <w:rPr>
          <w:rFonts w:ascii="微软雅黑" w:eastAsia="微软雅黑" w:hAnsi="微软雅黑" w:cs="微软雅黑"/>
          <w:color w:val="000000"/>
          <w:sz w:val="24"/>
          <w:szCs w:val="24"/>
          <w:shd w:val="clear" w:color="auto" w:fill="C1E6C6"/>
        </w:rPr>
      </w:pPr>
      <w:r>
        <w:rPr>
          <w:rFonts w:ascii="微软雅黑" w:eastAsia="微软雅黑" w:hAnsi="微软雅黑" w:cs="微软雅黑" w:hint="eastAsia"/>
          <w:noProof/>
          <w:color w:val="000000"/>
          <w:sz w:val="24"/>
          <w:szCs w:val="24"/>
          <w:shd w:val="clear" w:color="auto" w:fill="C1E6C6"/>
        </w:rPr>
        <w:drawing>
          <wp:inline distT="0" distB="0" distL="114300" distR="114300">
            <wp:extent cx="3835400" cy="2423795"/>
            <wp:effectExtent l="0" t="0" r="12700" b="14605"/>
            <wp:docPr id="6" name="图片 6" descr="聪明的产业4.0 在早晨时间。工业与蓝天。工业图标模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聪明的产业4.0 在早晨时间。工业与蓝天。工业图标模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42" w:rsidRDefault="00456D52">
      <w:pPr>
        <w:spacing w:line="360" w:lineRule="auto"/>
        <w:ind w:firstLineChars="100" w:firstLine="24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作为经济领域的学者与未来的从业者</w:t>
      </w:r>
    </w:p>
    <w:p w:rsidR="00935A42" w:rsidRDefault="00456D52">
      <w:pPr>
        <w:spacing w:line="360" w:lineRule="auto"/>
        <w:ind w:firstLineChars="100" w:firstLine="24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跟踪中国产业结构调整升级趋势</w:t>
      </w:r>
    </w:p>
    <w:p w:rsidR="00935A42" w:rsidRDefault="00456D52">
      <w:pPr>
        <w:spacing w:line="360" w:lineRule="auto"/>
        <w:ind w:firstLineChars="100" w:firstLine="24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挖掘产业各发展阶段的研究重点</w:t>
      </w:r>
    </w:p>
    <w:p w:rsidR="00935A42" w:rsidRDefault="00935A42">
      <w:pPr>
        <w:spacing w:line="360" w:lineRule="auto"/>
        <w:ind w:firstLineChars="100" w:firstLine="240"/>
        <w:jc w:val="center"/>
        <w:rPr>
          <w:rFonts w:ascii="宋体" w:eastAsia="宋体" w:hAnsi="宋体"/>
          <w:sz w:val="24"/>
          <w:szCs w:val="24"/>
        </w:rPr>
      </w:pPr>
    </w:p>
    <w:p w:rsidR="00935A42" w:rsidRDefault="00456D52">
      <w:pPr>
        <w:spacing w:line="360" w:lineRule="auto"/>
        <w:ind w:firstLineChars="100" w:firstLine="24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中观产业研究是把握经济全局，打通宏微观的利器</w:t>
      </w:r>
    </w:p>
    <w:p w:rsidR="00935A42" w:rsidRDefault="00456D52">
      <w:pPr>
        <w:pStyle w:val="a5"/>
        <w:widowControl/>
        <w:spacing w:beforeAutospacing="0" w:afterAutospacing="0" w:line="450" w:lineRule="atLeast"/>
        <w:ind w:firstLineChars="800" w:firstLine="1920"/>
        <w:jc w:val="both"/>
        <w:rPr>
          <w:rFonts w:ascii="宋体" w:eastAsia="宋体" w:hAnsi="宋体"/>
          <w:bCs/>
          <w:szCs w:val="24"/>
        </w:rPr>
      </w:pPr>
      <w:r>
        <w:rPr>
          <w:rFonts w:ascii="宋体" w:eastAsia="宋体" w:hAnsi="宋体" w:cstheme="minorBidi" w:hint="eastAsia"/>
          <w:kern w:val="2"/>
          <w:szCs w:val="24"/>
        </w:rPr>
        <w:t>是个人学术研究能力成长必备的基础信息素养</w:t>
      </w:r>
    </w:p>
    <w:p w:rsidR="00935A42" w:rsidRDefault="00456D52">
      <w:pPr>
        <w:spacing w:line="360" w:lineRule="auto"/>
        <w:ind w:firstLineChars="200" w:firstLine="480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noProof/>
          <w:sz w:val="24"/>
          <w:szCs w:val="24"/>
        </w:rPr>
        <w:drawing>
          <wp:inline distT="0" distB="0" distL="114300" distR="114300">
            <wp:extent cx="4080510" cy="2343150"/>
            <wp:effectExtent l="0" t="0" r="15240" b="0"/>
            <wp:docPr id="4" name="图片 4" descr="f154bd7f93a4bffec78056893bd9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154bd7f93a4bffec78056893bd973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051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42" w:rsidRDefault="00456D52">
      <w:pPr>
        <w:spacing w:line="360" w:lineRule="auto"/>
        <w:ind w:firstLineChars="200" w:firstLine="480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让我们跟随国研网高级行业分析师周琦开启这门信息素养提升的</w:t>
      </w:r>
      <w:r>
        <w:rPr>
          <w:rFonts w:ascii="宋体" w:eastAsia="宋体" w:hAnsi="宋体" w:hint="eastAsia"/>
          <w:sz w:val="24"/>
          <w:szCs w:val="24"/>
        </w:rPr>
        <w:t>必修课</w:t>
      </w:r>
      <w:r>
        <w:rPr>
          <w:rFonts w:ascii="宋体" w:eastAsia="宋体" w:hAnsi="宋体" w:hint="eastAsia"/>
          <w:bCs/>
          <w:sz w:val="24"/>
          <w:szCs w:val="24"/>
        </w:rPr>
        <w:t>，</w:t>
      </w:r>
    </w:p>
    <w:p w:rsidR="00935A42" w:rsidRDefault="00456D52">
      <w:pPr>
        <w:pStyle w:val="a5"/>
        <w:widowControl/>
        <w:spacing w:beforeAutospacing="0" w:afterAutospacing="0" w:line="450" w:lineRule="atLeast"/>
        <w:rPr>
          <w:rFonts w:ascii="宋体" w:eastAsia="宋体" w:hAnsi="宋体" w:cstheme="minorBidi"/>
          <w:bCs/>
          <w:kern w:val="2"/>
          <w:szCs w:val="24"/>
        </w:rPr>
      </w:pPr>
      <w:r>
        <w:rPr>
          <w:rFonts w:ascii="宋体" w:eastAsia="宋体" w:hAnsi="宋体" w:cstheme="minorBidi" w:hint="eastAsia"/>
          <w:bCs/>
          <w:kern w:val="2"/>
          <w:szCs w:val="24"/>
        </w:rPr>
        <w:t>他将结合自身多年的实践经验及具体的应用案例，阐述</w:t>
      </w:r>
      <w:r w:rsidR="00E425A2">
        <w:rPr>
          <w:rFonts w:ascii="宋体" w:eastAsia="宋体" w:hAnsi="宋体" w:cstheme="minorBidi"/>
          <w:bCs/>
          <w:kern w:val="2"/>
          <w:szCs w:val="24"/>
        </w:rPr>
        <w:t>如何深入开展行业研究</w:t>
      </w:r>
      <w:r w:rsidR="00E425A2">
        <w:rPr>
          <w:rFonts w:ascii="宋体" w:eastAsia="宋体" w:hAnsi="宋体" w:cstheme="minorBidi" w:hint="eastAsia"/>
          <w:bCs/>
          <w:kern w:val="2"/>
          <w:szCs w:val="24"/>
        </w:rPr>
        <w:t>，</w:t>
      </w:r>
      <w:r>
        <w:rPr>
          <w:rFonts w:ascii="宋体" w:eastAsia="宋体" w:hAnsi="宋体" w:cstheme="minorBidi" w:hint="eastAsia"/>
          <w:bCs/>
          <w:kern w:val="2"/>
          <w:szCs w:val="24"/>
        </w:rPr>
        <w:t>深度挖掘行业发展</w:t>
      </w:r>
      <w:bookmarkStart w:id="0" w:name="_GoBack"/>
      <w:bookmarkEnd w:id="0"/>
      <w:r>
        <w:rPr>
          <w:rFonts w:ascii="宋体" w:eastAsia="宋体" w:hAnsi="宋体" w:cstheme="minorBidi" w:hint="eastAsia"/>
          <w:bCs/>
          <w:kern w:val="2"/>
          <w:szCs w:val="24"/>
        </w:rPr>
        <w:t>的</w:t>
      </w:r>
      <w:r>
        <w:rPr>
          <w:rFonts w:ascii="宋体" w:eastAsia="宋体" w:hAnsi="宋体" w:cstheme="minorBidi"/>
          <w:bCs/>
          <w:kern w:val="2"/>
          <w:szCs w:val="24"/>
        </w:rPr>
        <w:t>主要影响因素</w:t>
      </w:r>
      <w:r>
        <w:rPr>
          <w:rFonts w:ascii="宋体" w:eastAsia="宋体" w:hAnsi="宋体" w:cstheme="minorBidi" w:hint="eastAsia"/>
          <w:bCs/>
          <w:kern w:val="2"/>
          <w:szCs w:val="24"/>
        </w:rPr>
        <w:t>等信息</w:t>
      </w:r>
      <w:r w:rsidR="00892B06">
        <w:rPr>
          <w:rFonts w:ascii="宋体" w:eastAsia="宋体" w:hAnsi="宋体" w:cstheme="minorBidi" w:hint="eastAsia"/>
          <w:bCs/>
          <w:kern w:val="2"/>
          <w:szCs w:val="24"/>
        </w:rPr>
        <w:t>；</w:t>
      </w:r>
      <w:r w:rsidR="00B03FBB">
        <w:rPr>
          <w:rFonts w:ascii="宋体" w:eastAsia="宋体" w:hAnsi="宋体" w:cstheme="minorBidi" w:hint="eastAsia"/>
          <w:bCs/>
          <w:kern w:val="2"/>
          <w:szCs w:val="24"/>
        </w:rPr>
        <w:t>立足</w:t>
      </w:r>
      <w:r w:rsidR="00892B06">
        <w:rPr>
          <w:rFonts w:ascii="宋体" w:eastAsia="宋体" w:hAnsi="宋体" w:cstheme="minorBidi"/>
          <w:bCs/>
          <w:kern w:val="2"/>
          <w:szCs w:val="24"/>
        </w:rPr>
        <w:t>当今高质量发展背景</w:t>
      </w:r>
      <w:r w:rsidR="00892B06">
        <w:rPr>
          <w:rFonts w:ascii="宋体" w:eastAsia="宋体" w:hAnsi="宋体" w:cstheme="minorBidi" w:hint="eastAsia"/>
          <w:bCs/>
          <w:kern w:val="2"/>
          <w:szCs w:val="24"/>
        </w:rPr>
        <w:t>，阐述</w:t>
      </w:r>
      <w:r w:rsidR="00B51930">
        <w:rPr>
          <w:rFonts w:ascii="宋体" w:eastAsia="宋体" w:hAnsi="宋体" w:cstheme="minorBidi"/>
          <w:bCs/>
          <w:kern w:val="2"/>
          <w:szCs w:val="24"/>
        </w:rPr>
        <w:t>如何</w:t>
      </w:r>
      <w:r w:rsidR="00892B06">
        <w:rPr>
          <w:rFonts w:ascii="宋体" w:eastAsia="宋体" w:hAnsi="宋体" w:cstheme="minorBidi"/>
          <w:bCs/>
          <w:kern w:val="2"/>
          <w:szCs w:val="24"/>
        </w:rPr>
        <w:t>应对行业研究所面临的挑战</w:t>
      </w:r>
      <w:r w:rsidR="00892B06">
        <w:rPr>
          <w:rFonts w:ascii="宋体" w:eastAsia="宋体" w:hAnsi="宋体" w:cstheme="minorBidi" w:hint="eastAsia"/>
          <w:bCs/>
          <w:kern w:val="2"/>
          <w:szCs w:val="24"/>
        </w:rPr>
        <w:t>，</w:t>
      </w:r>
      <w:r w:rsidR="00892B06">
        <w:rPr>
          <w:rFonts w:ascii="宋体" w:eastAsia="宋体" w:hAnsi="宋体" w:cstheme="minorBidi"/>
          <w:bCs/>
          <w:kern w:val="2"/>
          <w:szCs w:val="24"/>
        </w:rPr>
        <w:t>不断提升</w:t>
      </w:r>
      <w:r w:rsidR="00B03FBB">
        <w:rPr>
          <w:rFonts w:ascii="宋体" w:eastAsia="宋体" w:hAnsi="宋体" w:cstheme="minorBidi" w:hint="eastAsia"/>
          <w:bCs/>
          <w:kern w:val="2"/>
          <w:szCs w:val="24"/>
        </w:rPr>
        <w:t>行研</w:t>
      </w:r>
      <w:r w:rsidR="00B03FBB">
        <w:rPr>
          <w:rFonts w:ascii="宋体" w:eastAsia="宋体" w:hAnsi="宋体" w:cstheme="minorBidi"/>
          <w:bCs/>
          <w:kern w:val="2"/>
          <w:szCs w:val="24"/>
        </w:rPr>
        <w:t>工作</w:t>
      </w:r>
      <w:r w:rsidR="00892B06">
        <w:rPr>
          <w:rFonts w:ascii="宋体" w:eastAsia="宋体" w:hAnsi="宋体" w:cstheme="minorBidi"/>
          <w:bCs/>
          <w:kern w:val="2"/>
          <w:szCs w:val="24"/>
        </w:rPr>
        <w:t>的专业素养和能力水平</w:t>
      </w:r>
      <w:r w:rsidR="00892B06">
        <w:rPr>
          <w:rFonts w:ascii="宋体" w:eastAsia="宋体" w:hAnsi="宋体" w:cstheme="minorBidi" w:hint="eastAsia"/>
          <w:bCs/>
          <w:kern w:val="2"/>
          <w:szCs w:val="24"/>
        </w:rPr>
        <w:t>。</w:t>
      </w:r>
    </w:p>
    <w:p w:rsidR="00935A42" w:rsidRDefault="00935A42">
      <w:pPr>
        <w:spacing w:line="360" w:lineRule="auto"/>
        <w:ind w:firstLineChars="200" w:firstLine="480"/>
        <w:jc w:val="center"/>
        <w:rPr>
          <w:rFonts w:ascii="宋体" w:eastAsia="宋体" w:hAnsi="宋体"/>
          <w:bCs/>
          <w:sz w:val="24"/>
          <w:szCs w:val="24"/>
        </w:rPr>
      </w:pPr>
    </w:p>
    <w:p w:rsidR="00935A42" w:rsidRPr="00D462E9" w:rsidRDefault="00935A42">
      <w:pPr>
        <w:spacing w:line="360" w:lineRule="auto"/>
        <w:ind w:firstLineChars="200" w:firstLine="480"/>
        <w:jc w:val="center"/>
        <w:rPr>
          <w:rFonts w:ascii="宋体" w:eastAsia="宋体" w:hAnsi="宋体"/>
          <w:bCs/>
          <w:sz w:val="24"/>
          <w:szCs w:val="24"/>
        </w:rPr>
      </w:pPr>
    </w:p>
    <w:p w:rsidR="00935A42" w:rsidRDefault="00935A42">
      <w:pPr>
        <w:spacing w:line="360" w:lineRule="auto"/>
        <w:ind w:firstLineChars="100" w:firstLine="240"/>
        <w:jc w:val="center"/>
        <w:rPr>
          <w:rFonts w:ascii="宋体" w:eastAsia="宋体" w:hAnsi="宋体" w:cs="宋体"/>
          <w:sz w:val="24"/>
          <w:szCs w:val="24"/>
        </w:rPr>
      </w:pPr>
    </w:p>
    <w:p w:rsidR="00935A42" w:rsidRDefault="00456D52">
      <w:pPr>
        <w:spacing w:before="100" w:beforeAutospacing="1" w:after="100" w:afterAutospacing="1" w:line="360" w:lineRule="auto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课程安排</w:t>
      </w:r>
    </w:p>
    <w:p w:rsidR="00935A42" w:rsidRDefault="00456D52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Calibri" w:eastAsia="宋体" w:hAnsi="Calibri" w:cs="Times New Roman" w:hint="eastAsia"/>
          <w:b/>
          <w:bCs/>
          <w:sz w:val="24"/>
          <w:szCs w:val="24"/>
        </w:rPr>
        <w:t>讲座主题：</w:t>
      </w:r>
    </w:p>
    <w:p w:rsidR="00935A42" w:rsidRDefault="00456D5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高质量发展背景下行业研究的重点及方向</w:t>
      </w:r>
      <w:r>
        <w:rPr>
          <w:rFonts w:ascii="Calibri" w:eastAsia="宋体" w:hAnsi="Calibri" w:cs="Times New Roman" w:hint="eastAsia"/>
          <w:b/>
          <w:bCs/>
          <w:sz w:val="24"/>
          <w:szCs w:val="24"/>
        </w:rPr>
        <w:t xml:space="preserve"> </w:t>
      </w:r>
    </w:p>
    <w:p w:rsidR="00935A42" w:rsidRDefault="00456D52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Calibri" w:eastAsia="宋体" w:hAnsi="Calibri" w:cs="Times New Roman" w:hint="eastAsia"/>
          <w:b/>
          <w:bCs/>
          <w:sz w:val="24"/>
          <w:szCs w:val="24"/>
        </w:rPr>
        <w:t>讲座时间</w:t>
      </w:r>
      <w:r>
        <w:rPr>
          <w:rFonts w:ascii="Calibri" w:eastAsia="宋体" w:hAnsi="Calibri" w:cs="Times New Roman"/>
          <w:b/>
          <w:bCs/>
          <w:sz w:val="24"/>
          <w:szCs w:val="24"/>
        </w:rPr>
        <w:t>：</w:t>
      </w:r>
    </w:p>
    <w:p w:rsidR="00935A42" w:rsidRDefault="00456D52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Cs/>
          <w:sz w:val="24"/>
          <w:szCs w:val="24"/>
        </w:rPr>
        <w:t>2023年5月25 日15：00-16：00</w:t>
      </w:r>
    </w:p>
    <w:p w:rsidR="00935A42" w:rsidRDefault="00456D52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内容梗概：</w:t>
      </w:r>
    </w:p>
    <w:p w:rsidR="00935A42" w:rsidRDefault="00456D5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介绍行业研究的主要类型、基本逻辑及方法；结合高质量发展时代背景，分析我国产业发展的特点和趋势，总结当下行业研究工作应关注的重点和方向；以钢铁行业为例，详细介绍如何开展深度研究和撰写不同类型报告。</w:t>
      </w:r>
    </w:p>
    <w:p w:rsidR="00935A42" w:rsidRDefault="00456D52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讲座大纲：</w:t>
      </w:r>
    </w:p>
    <w:p w:rsidR="00935A42" w:rsidRDefault="00456D52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1、行业研究的主要类型、基本逻辑及方法</w:t>
      </w:r>
    </w:p>
    <w:p w:rsidR="00935A42" w:rsidRDefault="00456D52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2、高质量发展背景下产业发展特点和趋势</w:t>
      </w:r>
    </w:p>
    <w:p w:rsidR="00935A42" w:rsidRDefault="00456D52">
      <w:pPr>
        <w:spacing w:line="360" w:lineRule="auto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3、当下行业研究工作应关注的重点及方向</w:t>
      </w:r>
    </w:p>
    <w:p w:rsidR="00935A42" w:rsidRDefault="00456D5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4、如何开展深度研究和撰写报告——以钢铁行业为例</w:t>
      </w:r>
    </w:p>
    <w:p w:rsidR="00935A42" w:rsidRDefault="00456D52">
      <w:pPr>
        <w:numPr>
          <w:ilvl w:val="0"/>
          <w:numId w:val="1"/>
        </w:num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Calibri" w:eastAsia="宋体" w:hAnsi="Calibri" w:cs="Times New Roman" w:hint="eastAsia"/>
          <w:b/>
          <w:bCs/>
          <w:sz w:val="24"/>
          <w:szCs w:val="24"/>
        </w:rPr>
        <w:t>讲师简介：</w:t>
      </w:r>
    </w:p>
    <w:p w:rsidR="00935A42" w:rsidRDefault="00456D5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周琦，高级行业分析师；研究领域：宏观经济、行业经济、产业政策；长期跟踪研究钢铁、煤炭、铁矿石等大宗原料行业，在国研网上发表多篇深度行业报告；主持及参与多个政府产业规划、企业战略规划类及其他咨询项目；曾参与国研中心相关政策课题研究工作，以及多份内参报告的研究和撰写。</w:t>
      </w:r>
    </w:p>
    <w:p w:rsidR="00935A42" w:rsidRDefault="00935A42">
      <w:pPr>
        <w:spacing w:line="360" w:lineRule="auto"/>
        <w:ind w:firstLineChars="200" w:firstLine="480"/>
        <w:jc w:val="center"/>
        <w:rPr>
          <w:rFonts w:ascii="宋体" w:eastAsia="宋体" w:hAnsi="宋体"/>
          <w:bCs/>
          <w:sz w:val="24"/>
          <w:szCs w:val="24"/>
        </w:rPr>
      </w:pPr>
    </w:p>
    <w:p w:rsidR="00935A42" w:rsidRDefault="00935A42">
      <w:pPr>
        <w:spacing w:line="360" w:lineRule="auto"/>
        <w:ind w:firstLineChars="200" w:firstLine="480"/>
        <w:rPr>
          <w:rFonts w:ascii="宋体" w:eastAsia="宋体" w:hAnsi="宋体"/>
          <w:bCs/>
          <w:sz w:val="24"/>
          <w:szCs w:val="24"/>
        </w:rPr>
      </w:pPr>
    </w:p>
    <w:p w:rsidR="00935A42" w:rsidRDefault="00456D52">
      <w:pPr>
        <w:spacing w:before="100" w:beforeAutospacing="1" w:after="100" w:afterAutospacing="1" w:line="360" w:lineRule="auto"/>
        <w:ind w:firstLine="482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参与方式</w:t>
      </w:r>
    </w:p>
    <w:p w:rsidR="00935A42" w:rsidRDefault="00456D52">
      <w:pPr>
        <w:numPr>
          <w:ilvl w:val="0"/>
          <w:numId w:val="2"/>
        </w:num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手机下载“腾讯会议APP”或手机微信扫描下方二维码，输入会议号进入</w:t>
      </w:r>
    </w:p>
    <w:p w:rsidR="00935A42" w:rsidRDefault="00935A42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935A42" w:rsidRDefault="00456D52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inline distT="0" distB="0" distL="0" distR="0">
            <wp:extent cx="1662430" cy="1662430"/>
            <wp:effectExtent l="0" t="0" r="13970" b="13970"/>
            <wp:docPr id="2" name="图片 2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标&#10;&#10;描述已自动生成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42" w:rsidRDefault="00935A42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</w:p>
    <w:p w:rsidR="00935A42" w:rsidRDefault="00456D52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Times New Roman" w:hint="eastAsia"/>
          <w:b/>
          <w:bCs/>
          <w:sz w:val="24"/>
          <w:szCs w:val="24"/>
        </w:rPr>
        <w:t>腾讯会议ID：</w:t>
      </w:r>
      <w:r>
        <w:rPr>
          <w:rFonts w:ascii="宋体" w:eastAsia="宋体" w:hAnsi="宋体" w:hint="eastAsia"/>
          <w:sz w:val="24"/>
          <w:szCs w:val="24"/>
        </w:rPr>
        <w:t>783-317-480</w:t>
      </w:r>
    </w:p>
    <w:p w:rsidR="00935A42" w:rsidRDefault="00456D52">
      <w:pPr>
        <w:spacing w:line="360" w:lineRule="auto"/>
        <w:ind w:firstLineChars="100" w:firstLine="240"/>
        <w:rPr>
          <w:rFonts w:asciiTheme="minorEastAsia" w:hAnsiTheme="minorEastAsia"/>
          <w:bCs/>
          <w:color w:val="FF0000"/>
          <w:sz w:val="24"/>
          <w:szCs w:val="24"/>
        </w:rPr>
      </w:pPr>
      <w:r>
        <w:rPr>
          <w:rFonts w:asciiTheme="minorEastAsia" w:hAnsiTheme="minorEastAsia" w:hint="eastAsia"/>
          <w:bCs/>
          <w:color w:val="FF0000"/>
          <w:sz w:val="24"/>
          <w:szCs w:val="24"/>
        </w:rPr>
        <w:t>如遇会议人数已满可扫描下方直播二维码观看腾讯会议直播：</w:t>
      </w:r>
    </w:p>
    <w:p w:rsidR="00935A42" w:rsidRDefault="00456D52">
      <w:pPr>
        <w:spacing w:line="360" w:lineRule="auto"/>
        <w:jc w:val="center"/>
        <w:rPr>
          <w:rFonts w:asciiTheme="minorEastAsia" w:hAnsiTheme="minorEastAsia"/>
          <w:bCs/>
          <w:color w:val="FF0000"/>
          <w:sz w:val="24"/>
          <w:szCs w:val="24"/>
        </w:rPr>
      </w:pPr>
      <w:r>
        <w:rPr>
          <w:rFonts w:ascii="仿宋_GB2312" w:eastAsia="仿宋_GB2312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657350" cy="1562100"/>
            <wp:effectExtent l="0" t="0" r="0" b="0"/>
            <wp:docPr id="8" name="图片 8" descr="C:\Users\liu\AppData\Local\Temp\WeChat Files\45866ca8e22710fd88b574b2ee470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liu\AppData\Local\Temp\WeChat Files\45866ca8e22710fd88b574b2ee4707f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A42" w:rsidRDefault="00935A42">
      <w:pPr>
        <w:spacing w:line="360" w:lineRule="auto"/>
        <w:ind w:firstLineChars="175" w:firstLine="420"/>
        <w:jc w:val="center"/>
        <w:rPr>
          <w:rFonts w:asciiTheme="minorEastAsia" w:hAnsiTheme="minorEastAsia"/>
          <w:bCs/>
          <w:color w:val="FF0000"/>
          <w:sz w:val="24"/>
          <w:szCs w:val="24"/>
        </w:rPr>
      </w:pPr>
    </w:p>
    <w:p w:rsidR="00935A42" w:rsidRDefault="00456D52">
      <w:pPr>
        <w:numPr>
          <w:ilvl w:val="0"/>
          <w:numId w:val="2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预报名方式：</w:t>
      </w:r>
      <w:r>
        <w:rPr>
          <w:rFonts w:asciiTheme="minorEastAsia" w:hAnsiTheme="minorEastAsia" w:hint="eastAsia"/>
          <w:sz w:val="24"/>
          <w:szCs w:val="24"/>
        </w:rPr>
        <w:t>微信扫描下方二维码参与预报名，获取课时证明！</w:t>
      </w:r>
    </w:p>
    <w:p w:rsidR="00935A42" w:rsidRDefault="00456D52">
      <w:pPr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noProof/>
          <w:sz w:val="24"/>
          <w:szCs w:val="24"/>
        </w:rPr>
        <w:drawing>
          <wp:inline distT="0" distB="0" distL="114300" distR="114300">
            <wp:extent cx="1643380" cy="1643380"/>
            <wp:effectExtent l="0" t="0" r="13970" b="13970"/>
            <wp:docPr id="9" name="图片 9" descr="2023国研网经济信息素养系列培训第二期（签到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23国研网经济信息素养系列培训第二期（签到表）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A42" w:rsidRDefault="00935A42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</w:p>
    <w:p w:rsidR="00935A42" w:rsidRDefault="00456D52">
      <w:pPr>
        <w:spacing w:before="100" w:beforeAutospacing="1" w:after="100" w:afterAutospacing="1" w:line="360" w:lineRule="auto"/>
        <w:ind w:firstLine="482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主办单位</w:t>
      </w:r>
    </w:p>
    <w:p w:rsidR="00935A42" w:rsidRDefault="00456D52">
      <w:pPr>
        <w:spacing w:line="360" w:lineRule="auto"/>
        <w:ind w:left="420"/>
        <w:jc w:val="center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北京国研网信息股份有限公司</w:t>
      </w:r>
    </w:p>
    <w:p w:rsidR="00935A42" w:rsidRDefault="00456D52">
      <w:pPr>
        <w:pStyle w:val="a5"/>
        <w:widowControl/>
        <w:spacing w:before="100" w:after="100" w:line="360" w:lineRule="auto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务院发展研究中心信息网（简称“国研网”）创建于1998年3月，致力于与社会各界广泛深入合作，以“专业性、权威性、前瞻性、指导性和包容性”为原则，全力打造经济社会大数据服务、经济课题研究咨询和经济社会信息平台建设三大核心业务，为中国各级党政机关、研究机构和企事业单位提供研究及决策支持，为国家建设中国特色新型智库贡献力量。</w:t>
      </w:r>
    </w:p>
    <w:p w:rsidR="00935A42" w:rsidRDefault="00456D52">
      <w:pPr>
        <w:pStyle w:val="a5"/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客服热线：</w:t>
      </w:r>
      <w:r>
        <w:rPr>
          <w:rFonts w:asciiTheme="minorEastAsia" w:hAnsiTheme="minorEastAsia"/>
        </w:rPr>
        <w:t>400-707-0678</w:t>
      </w:r>
    </w:p>
    <w:p w:rsidR="00935A42" w:rsidRDefault="00456D52">
      <w:pPr>
        <w:pStyle w:val="a5"/>
        <w:widowControl/>
        <w:rPr>
          <w:rFonts w:ascii="宋体" w:eastAsia="宋体" w:hAnsi="宋体"/>
          <w:szCs w:val="24"/>
        </w:rPr>
      </w:pPr>
      <w:r>
        <w:rPr>
          <w:rFonts w:asciiTheme="minorEastAsia" w:hAnsiTheme="minorEastAsia" w:hint="eastAsia"/>
        </w:rPr>
        <w:t>网站链接：</w:t>
      </w:r>
      <w:hyperlink r:id="rId13" w:history="1">
        <w:r>
          <w:rPr>
            <w:rStyle w:val="a8"/>
            <w:rFonts w:asciiTheme="minorEastAsia" w:hAnsiTheme="minorEastAsia"/>
          </w:rPr>
          <w:t>www.drcnet.com.cn</w:t>
        </w:r>
      </w:hyperlink>
    </w:p>
    <w:sectPr w:rsidR="00935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FD" w:rsidRDefault="00BB2CFD" w:rsidP="00E425A2">
      <w:r>
        <w:separator/>
      </w:r>
    </w:p>
  </w:endnote>
  <w:endnote w:type="continuationSeparator" w:id="0">
    <w:p w:rsidR="00BB2CFD" w:rsidRDefault="00BB2CFD" w:rsidP="00E4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FD" w:rsidRDefault="00BB2CFD" w:rsidP="00E425A2">
      <w:r>
        <w:separator/>
      </w:r>
    </w:p>
  </w:footnote>
  <w:footnote w:type="continuationSeparator" w:id="0">
    <w:p w:rsidR="00BB2CFD" w:rsidRDefault="00BB2CFD" w:rsidP="00E4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 w15:restartNumberingAfterBreak="0">
    <w:nsid w:val="329F339C"/>
    <w:multiLevelType w:val="multilevel"/>
    <w:tmpl w:val="329F339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BC232D"/>
    <w:multiLevelType w:val="multilevel"/>
    <w:tmpl w:val="7BBC232D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ZhMzhjMmRiNzg0ZTJjY2U1NmVkMzkzNzk1MDZmOTQifQ=="/>
    <w:docVar w:name="KSO_WPS_MARK_KEY" w:val="9933d73f-7c56-4e38-aa97-5d9028ac3961"/>
  </w:docVars>
  <w:rsids>
    <w:rsidRoot w:val="00EF45D3"/>
    <w:rsid w:val="00042E5E"/>
    <w:rsid w:val="000744E6"/>
    <w:rsid w:val="00104E0F"/>
    <w:rsid w:val="001F2D9A"/>
    <w:rsid w:val="00203574"/>
    <w:rsid w:val="0039342E"/>
    <w:rsid w:val="0042190B"/>
    <w:rsid w:val="00456D52"/>
    <w:rsid w:val="005177B4"/>
    <w:rsid w:val="005A226E"/>
    <w:rsid w:val="005E6F0B"/>
    <w:rsid w:val="006544B5"/>
    <w:rsid w:val="006E5F1F"/>
    <w:rsid w:val="0077702A"/>
    <w:rsid w:val="00791667"/>
    <w:rsid w:val="007B341B"/>
    <w:rsid w:val="007D0A80"/>
    <w:rsid w:val="007D30DB"/>
    <w:rsid w:val="007D4437"/>
    <w:rsid w:val="00831B40"/>
    <w:rsid w:val="008501EC"/>
    <w:rsid w:val="00892B06"/>
    <w:rsid w:val="008A63E4"/>
    <w:rsid w:val="008C4A40"/>
    <w:rsid w:val="00935A42"/>
    <w:rsid w:val="00945F0E"/>
    <w:rsid w:val="009908CE"/>
    <w:rsid w:val="009A4E6E"/>
    <w:rsid w:val="00A10AB4"/>
    <w:rsid w:val="00A8292E"/>
    <w:rsid w:val="00AB14ED"/>
    <w:rsid w:val="00AE6916"/>
    <w:rsid w:val="00B03FBB"/>
    <w:rsid w:val="00B51930"/>
    <w:rsid w:val="00B5505D"/>
    <w:rsid w:val="00B634C7"/>
    <w:rsid w:val="00BB2CFD"/>
    <w:rsid w:val="00BB621D"/>
    <w:rsid w:val="00BF0326"/>
    <w:rsid w:val="00C1088F"/>
    <w:rsid w:val="00C557FB"/>
    <w:rsid w:val="00CC4619"/>
    <w:rsid w:val="00CD6E7D"/>
    <w:rsid w:val="00D462E9"/>
    <w:rsid w:val="00E10243"/>
    <w:rsid w:val="00E41446"/>
    <w:rsid w:val="00E425A2"/>
    <w:rsid w:val="00EF45D3"/>
    <w:rsid w:val="00F53FC3"/>
    <w:rsid w:val="00F97A72"/>
    <w:rsid w:val="048212D8"/>
    <w:rsid w:val="06495B4B"/>
    <w:rsid w:val="07337310"/>
    <w:rsid w:val="18914EF8"/>
    <w:rsid w:val="1CD35FFA"/>
    <w:rsid w:val="1D4813BE"/>
    <w:rsid w:val="25C420AB"/>
    <w:rsid w:val="29081157"/>
    <w:rsid w:val="2B6D72C3"/>
    <w:rsid w:val="301149CB"/>
    <w:rsid w:val="339B6BCE"/>
    <w:rsid w:val="39614852"/>
    <w:rsid w:val="3A7E1D64"/>
    <w:rsid w:val="3EAA3F85"/>
    <w:rsid w:val="411E1C6F"/>
    <w:rsid w:val="443D3CA2"/>
    <w:rsid w:val="44EA4873"/>
    <w:rsid w:val="45373F50"/>
    <w:rsid w:val="490F3093"/>
    <w:rsid w:val="4D3539AD"/>
    <w:rsid w:val="4F213506"/>
    <w:rsid w:val="52636FDE"/>
    <w:rsid w:val="54B8094A"/>
    <w:rsid w:val="5AC47D5F"/>
    <w:rsid w:val="5E1624FE"/>
    <w:rsid w:val="60DA657F"/>
    <w:rsid w:val="68750097"/>
    <w:rsid w:val="69CB47D9"/>
    <w:rsid w:val="74EF566C"/>
    <w:rsid w:val="7AC07437"/>
    <w:rsid w:val="7E96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F25AC0-86F3-4FD0-8BF8-9733420B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Emphasis"/>
    <w:basedOn w:val="a0"/>
    <w:qFormat/>
    <w:rPr>
      <w:i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a">
    <w:name w:val="Balloon Text"/>
    <w:basedOn w:val="a"/>
    <w:link w:val="Char1"/>
    <w:semiHidden/>
    <w:unhideWhenUsed/>
    <w:rsid w:val="00E425A2"/>
    <w:rPr>
      <w:sz w:val="18"/>
      <w:szCs w:val="18"/>
    </w:rPr>
  </w:style>
  <w:style w:type="character" w:customStyle="1" w:styleId="Char1">
    <w:name w:val="批注框文本 Char"/>
    <w:basedOn w:val="a0"/>
    <w:link w:val="aa"/>
    <w:semiHidden/>
    <w:rsid w:val="00E425A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drcnet.com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</dc:creator>
  <cp:lastModifiedBy>liu</cp:lastModifiedBy>
  <cp:revision>13</cp:revision>
  <dcterms:created xsi:type="dcterms:W3CDTF">2022-11-30T01:05:00Z</dcterms:created>
  <dcterms:modified xsi:type="dcterms:W3CDTF">2023-04-24T09:29:00Z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C50451500A8A49138FD6D11358917128</vt:lpwstr>
  </property>
</Properties>
</file>