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BF" w:rsidRPr="007B5D5E" w:rsidRDefault="00045BBF">
      <w:pPr>
        <w:rPr>
          <w:rFonts w:ascii="仿宋_GB2312" w:eastAsia="仿宋_GB2312" w:hAnsi="仿宋_GB2312" w:cs="仿宋_GB2312" w:hint="eastAsia"/>
          <w:b/>
          <w:sz w:val="32"/>
          <w:szCs w:val="32"/>
        </w:rPr>
      </w:pPr>
      <w:r w:rsidRPr="007B5D5E">
        <w:rPr>
          <w:rFonts w:ascii="仿宋_GB2312" w:eastAsia="仿宋_GB2312" w:hAnsi="仿宋_GB2312" w:cs="仿宋_GB2312" w:hint="eastAsia"/>
          <w:b/>
          <w:sz w:val="32"/>
          <w:szCs w:val="32"/>
        </w:rPr>
        <w:t>生</w:t>
      </w:r>
      <w:r w:rsidRPr="007B5D5E">
        <w:rPr>
          <w:rFonts w:ascii="仿宋_GB2312" w:eastAsia="仿宋_GB2312" w:hAnsi="仿宋_GB2312" w:cs="仿宋_GB2312"/>
          <w:b/>
          <w:sz w:val="32"/>
          <w:szCs w:val="32"/>
        </w:rPr>
        <w:t>物学一级学科介绍</w:t>
      </w:r>
    </w:p>
    <w:p w:rsidR="00DD4B85" w:rsidRPr="007B5D5E" w:rsidRDefault="00456036" w:rsidP="007B5D5E">
      <w:pPr>
        <w:ind w:firstLineChars="150" w:firstLine="360"/>
        <w:rPr>
          <w:rFonts w:ascii="楷体" w:eastAsia="楷体" w:hAnsi="楷体"/>
          <w:bCs/>
          <w:sz w:val="24"/>
        </w:rPr>
      </w:pPr>
      <w:r w:rsidRPr="007B5D5E">
        <w:rPr>
          <w:rFonts w:ascii="楷体" w:eastAsia="楷体" w:hAnsi="楷体" w:hint="eastAsia"/>
          <w:bCs/>
          <w:sz w:val="24"/>
        </w:rPr>
        <w:t>华</w:t>
      </w:r>
      <w:r w:rsidRPr="007B5D5E">
        <w:rPr>
          <w:rFonts w:ascii="楷体" w:eastAsia="楷体" w:hAnsi="楷体"/>
          <w:bCs/>
          <w:sz w:val="24"/>
        </w:rPr>
        <w:t>南师范大学</w:t>
      </w:r>
      <w:r w:rsidRPr="007B5D5E">
        <w:rPr>
          <w:rFonts w:ascii="楷体" w:eastAsia="楷体" w:hAnsi="楷体" w:hint="eastAsia"/>
          <w:bCs/>
          <w:sz w:val="24"/>
        </w:rPr>
        <w:t>生物学一级学科始建</w:t>
      </w:r>
      <w:r w:rsidRPr="007B5D5E">
        <w:rPr>
          <w:rFonts w:ascii="楷体" w:eastAsia="楷体" w:hAnsi="楷体"/>
          <w:bCs/>
          <w:sz w:val="24"/>
        </w:rPr>
        <w:t>1933年的广东省省立</w:t>
      </w:r>
      <w:proofErr w:type="gramStart"/>
      <w:r w:rsidRPr="007B5D5E">
        <w:rPr>
          <w:rFonts w:ascii="楷体" w:eastAsia="楷体" w:hAnsi="楷体"/>
          <w:bCs/>
          <w:sz w:val="24"/>
        </w:rPr>
        <w:t>勷勤大学</w:t>
      </w:r>
      <w:proofErr w:type="gramEnd"/>
      <w:r w:rsidRPr="007B5D5E">
        <w:rPr>
          <w:rFonts w:ascii="楷体" w:eastAsia="楷体" w:hAnsi="楷体"/>
          <w:bCs/>
          <w:sz w:val="24"/>
        </w:rPr>
        <w:t>师范学院</w:t>
      </w:r>
      <w:proofErr w:type="gramStart"/>
      <w:r w:rsidRPr="007B5D5E">
        <w:rPr>
          <w:rFonts w:ascii="楷体" w:eastAsia="楷体" w:hAnsi="楷体"/>
          <w:bCs/>
          <w:sz w:val="24"/>
        </w:rPr>
        <w:t>的博地系</w:t>
      </w:r>
      <w:proofErr w:type="gramEnd"/>
      <w:r w:rsidRPr="007B5D5E">
        <w:rPr>
          <w:rFonts w:ascii="楷体" w:eastAsia="楷体" w:hAnsi="楷体" w:hint="eastAsia"/>
          <w:bCs/>
          <w:sz w:val="24"/>
        </w:rPr>
        <w:t>。</w:t>
      </w:r>
      <w:r w:rsidR="00045BBF" w:rsidRPr="007B5D5E">
        <w:rPr>
          <w:rFonts w:ascii="楷体" w:eastAsia="楷体" w:hAnsi="楷体" w:hint="eastAsia"/>
          <w:bCs/>
          <w:sz w:val="24"/>
        </w:rPr>
        <w:t>“生物学”于2006年获批博士一级学科授权点，涵盖9个二级学科，其中“植物学”于2012年被评为“广东省攀峰重点学科”，“植物学与动物学”</w:t>
      </w:r>
      <w:r w:rsidRPr="007B5D5E">
        <w:rPr>
          <w:rFonts w:ascii="楷体" w:eastAsia="楷体" w:hAnsi="楷体"/>
          <w:bCs/>
          <w:sz w:val="24"/>
        </w:rPr>
        <w:t>植物学与动物学进入ESI世界前1%行列。2018年生物学学科被列入广东省高等教育“冲一流、补短板、强特色”提升计划重点学科建设行列</w:t>
      </w:r>
      <w:r w:rsidRPr="007B5D5E">
        <w:rPr>
          <w:rFonts w:ascii="楷体" w:eastAsia="楷体" w:hAnsi="楷体" w:hint="eastAsia"/>
          <w:bCs/>
          <w:sz w:val="24"/>
        </w:rPr>
        <w:t>，</w:t>
      </w:r>
      <w:r w:rsidR="00045BBF" w:rsidRPr="007B5D5E">
        <w:rPr>
          <w:rFonts w:ascii="楷体" w:eastAsia="楷体" w:hAnsi="楷体" w:hint="eastAsia"/>
          <w:bCs/>
          <w:sz w:val="24"/>
        </w:rPr>
        <w:t>是学校高水平大学建设重点建设学科群中的主要学科。</w:t>
      </w:r>
    </w:p>
    <w:p w:rsidR="00045BBF" w:rsidRPr="007B5D5E" w:rsidRDefault="00456036" w:rsidP="007B5D5E">
      <w:pPr>
        <w:ind w:firstLineChars="200" w:firstLine="480"/>
        <w:rPr>
          <w:rFonts w:ascii="楷体" w:eastAsia="楷体" w:hAnsi="楷体"/>
          <w:bCs/>
          <w:sz w:val="24"/>
        </w:rPr>
      </w:pPr>
      <w:r w:rsidRPr="007B5D5E">
        <w:rPr>
          <w:rFonts w:ascii="楷体" w:eastAsia="楷体" w:hAnsi="楷体"/>
          <w:bCs/>
          <w:sz w:val="24"/>
        </w:rPr>
        <w:t>本学科拥有激光生命科学教育部重点实验室、广东省植物发育生物工程重点实验室、“广东省昆虫发育科学与技术重点实验室”、“生态与环境科学广东普通高校重点实验室”、“广州市昆虫发育调控与应用研究重点实验室”、 “广东省华南牧草工程技术研究中心”和 “广东省药食同源应用研究工程技术研究中心”等平台支撑；拥有一支由</w:t>
      </w:r>
      <w:r w:rsidRPr="007B5D5E">
        <w:rPr>
          <w:rFonts w:ascii="楷体" w:eastAsia="楷体" w:hAnsi="楷体" w:hint="eastAsia"/>
          <w:bCs/>
          <w:sz w:val="24"/>
        </w:rPr>
        <w:t>国家重大人才项目</w:t>
      </w:r>
      <w:r w:rsidRPr="007B5D5E">
        <w:rPr>
          <w:rFonts w:ascii="楷体" w:eastAsia="楷体" w:hAnsi="楷体"/>
          <w:bCs/>
          <w:sz w:val="24"/>
        </w:rPr>
        <w:t>获得者、长江学者奖励计划"特聘教授、国家杰出青年基金获得者，</w:t>
      </w:r>
      <w:r w:rsidRPr="007B5D5E">
        <w:rPr>
          <w:rFonts w:ascii="楷体" w:eastAsia="楷体" w:hAnsi="楷体" w:hint="eastAsia"/>
          <w:bCs/>
          <w:sz w:val="24"/>
        </w:rPr>
        <w:t>国家重大人才项目（青年）获得者</w:t>
      </w:r>
      <w:r w:rsidRPr="007B5D5E">
        <w:rPr>
          <w:rFonts w:ascii="楷体" w:eastAsia="楷体" w:hAnsi="楷体"/>
          <w:bCs/>
          <w:sz w:val="24"/>
        </w:rPr>
        <w:t>，国家优秀青年基金获得者，“新世纪百千万人才工程”国家级人选、教育部“新世纪优秀人才”人选</w:t>
      </w:r>
      <w:r w:rsidRPr="007B5D5E">
        <w:rPr>
          <w:rFonts w:ascii="楷体" w:eastAsia="楷体" w:hAnsi="楷体" w:hint="eastAsia"/>
          <w:bCs/>
          <w:sz w:val="24"/>
        </w:rPr>
        <w:t>、珠江人才计划高层次人才、</w:t>
      </w:r>
      <w:r w:rsidRPr="007B5D5E">
        <w:rPr>
          <w:rFonts w:ascii="楷体" w:eastAsia="楷体" w:hAnsi="楷体"/>
          <w:bCs/>
          <w:sz w:val="24"/>
        </w:rPr>
        <w:t>广东省教</w:t>
      </w:r>
      <w:r w:rsidRPr="007B5D5E">
        <w:rPr>
          <w:rFonts w:ascii="楷体" w:eastAsia="楷体" w:hAnsi="楷体" w:hint="eastAsia"/>
          <w:bCs/>
          <w:sz w:val="24"/>
        </w:rPr>
        <w:t>学</w:t>
      </w:r>
      <w:r w:rsidRPr="007B5D5E">
        <w:rPr>
          <w:rFonts w:ascii="楷体" w:eastAsia="楷体" w:hAnsi="楷体"/>
          <w:bCs/>
          <w:sz w:val="24"/>
        </w:rPr>
        <w:t>名师、广东省特支计划领军人才</w:t>
      </w:r>
      <w:r w:rsidRPr="007B5D5E">
        <w:rPr>
          <w:rFonts w:ascii="楷体" w:eastAsia="楷体" w:hAnsi="楷体" w:hint="eastAsia"/>
          <w:bCs/>
          <w:sz w:val="24"/>
        </w:rPr>
        <w:t>、</w:t>
      </w:r>
      <w:r w:rsidRPr="007B5D5E">
        <w:rPr>
          <w:rFonts w:ascii="楷体" w:eastAsia="楷体" w:hAnsi="楷体"/>
          <w:bCs/>
          <w:sz w:val="24"/>
        </w:rPr>
        <w:t>广东省“珠</w:t>
      </w:r>
      <w:proofErr w:type="gramStart"/>
      <w:r w:rsidRPr="007B5D5E">
        <w:rPr>
          <w:rFonts w:ascii="楷体" w:eastAsia="楷体" w:hAnsi="楷体"/>
          <w:bCs/>
          <w:sz w:val="24"/>
        </w:rPr>
        <w:t>江学者</w:t>
      </w:r>
      <w:proofErr w:type="gramEnd"/>
      <w:r w:rsidRPr="007B5D5E">
        <w:rPr>
          <w:rFonts w:ascii="楷体" w:eastAsia="楷体" w:hAnsi="楷体"/>
          <w:bCs/>
          <w:sz w:val="24"/>
        </w:rPr>
        <w:t>特聘教授</w:t>
      </w:r>
      <w:proofErr w:type="gramStart"/>
      <w:r w:rsidRPr="007B5D5E">
        <w:rPr>
          <w:rFonts w:ascii="楷体" w:eastAsia="楷体" w:hAnsi="楷体"/>
          <w:bCs/>
          <w:sz w:val="24"/>
        </w:rPr>
        <w:t>”</w:t>
      </w:r>
      <w:proofErr w:type="gramEnd"/>
      <w:r w:rsidRPr="007B5D5E">
        <w:rPr>
          <w:rFonts w:ascii="楷体" w:eastAsia="楷体" w:hAnsi="楷体" w:hint="eastAsia"/>
          <w:bCs/>
          <w:sz w:val="24"/>
        </w:rPr>
        <w:t>、</w:t>
      </w:r>
      <w:r w:rsidRPr="007B5D5E">
        <w:rPr>
          <w:rFonts w:ascii="楷体" w:eastAsia="楷体" w:hAnsi="楷体"/>
          <w:bCs/>
          <w:sz w:val="24"/>
        </w:rPr>
        <w:t>广东省杰青</w:t>
      </w:r>
      <w:r w:rsidRPr="007B5D5E">
        <w:rPr>
          <w:rFonts w:ascii="楷体" w:eastAsia="楷体" w:hAnsi="楷体" w:hint="eastAsia"/>
          <w:bCs/>
          <w:sz w:val="24"/>
        </w:rPr>
        <w:t>、珠江人才计划青年拔尖人才、</w:t>
      </w:r>
      <w:r w:rsidRPr="007B5D5E">
        <w:rPr>
          <w:rFonts w:ascii="楷体" w:eastAsia="楷体" w:hAnsi="楷体"/>
          <w:bCs/>
          <w:sz w:val="24"/>
        </w:rPr>
        <w:t>广东特支计划青年拔尖人才</w:t>
      </w:r>
      <w:r w:rsidRPr="007B5D5E">
        <w:rPr>
          <w:rFonts w:ascii="楷体" w:eastAsia="楷体" w:hAnsi="楷体" w:hint="eastAsia"/>
          <w:bCs/>
          <w:sz w:val="24"/>
        </w:rPr>
        <w:t>和</w:t>
      </w:r>
      <w:r w:rsidRPr="007B5D5E">
        <w:rPr>
          <w:rFonts w:ascii="楷体" w:eastAsia="楷体" w:hAnsi="楷体"/>
          <w:bCs/>
          <w:sz w:val="24"/>
        </w:rPr>
        <w:t>青年珠江学者</w:t>
      </w:r>
      <w:r w:rsidRPr="007B5D5E">
        <w:rPr>
          <w:rFonts w:ascii="楷体" w:eastAsia="楷体" w:hAnsi="楷体" w:hint="eastAsia"/>
          <w:bCs/>
          <w:sz w:val="24"/>
        </w:rPr>
        <w:t>等高层次人才</w:t>
      </w:r>
      <w:r w:rsidRPr="007B5D5E">
        <w:rPr>
          <w:rFonts w:ascii="楷体" w:eastAsia="楷体" w:hAnsi="楷体"/>
          <w:bCs/>
          <w:sz w:val="24"/>
        </w:rPr>
        <w:t>等组成的老中青结合的师资队伍。</w:t>
      </w:r>
    </w:p>
    <w:p w:rsidR="00DD4B85" w:rsidRDefault="00DD4B85" w:rsidP="00DD4B85">
      <w:pPr>
        <w:adjustRightInd w:val="0"/>
        <w:snapToGrid w:val="0"/>
        <w:spacing w:beforeLines="50" w:before="156" w:afterLines="50" w:after="156"/>
        <w:ind w:firstLineChars="200" w:firstLine="480"/>
        <w:rPr>
          <w:rFonts w:ascii="楷体" w:eastAsia="楷体" w:hAnsi="楷体" w:cs="Times New Roman"/>
          <w:bCs/>
          <w:sz w:val="24"/>
          <w:szCs w:val="24"/>
        </w:rPr>
      </w:pPr>
      <w:r w:rsidRPr="007B5D5E">
        <w:rPr>
          <w:rFonts w:ascii="楷体" w:eastAsia="楷体" w:hAnsi="楷体"/>
          <w:bCs/>
          <w:sz w:val="24"/>
        </w:rPr>
        <w:t>本学科立足于华南热带亚热带地区丰富的生物多样性资源，围绕</w:t>
      </w:r>
      <w:r w:rsidRPr="007B5D5E">
        <w:rPr>
          <w:rFonts w:ascii="楷体" w:eastAsia="楷体" w:hAnsi="楷体" w:hint="eastAsia"/>
          <w:bCs/>
          <w:sz w:val="24"/>
        </w:rPr>
        <w:t>国际前沿的科学问题和广东</w:t>
      </w:r>
      <w:r w:rsidRPr="007B5D5E">
        <w:rPr>
          <w:rFonts w:ascii="楷体" w:eastAsia="楷体" w:hAnsi="楷体"/>
          <w:bCs/>
          <w:sz w:val="24"/>
        </w:rPr>
        <w:t>省经济社会发展的</w:t>
      </w:r>
      <w:r w:rsidRPr="007B5D5E">
        <w:rPr>
          <w:rFonts w:ascii="楷体" w:eastAsia="楷体" w:hAnsi="楷体" w:hint="eastAsia"/>
          <w:bCs/>
          <w:sz w:val="24"/>
        </w:rPr>
        <w:t>重大</w:t>
      </w:r>
      <w:r w:rsidRPr="007B5D5E">
        <w:rPr>
          <w:rFonts w:ascii="楷体" w:eastAsia="楷体" w:hAnsi="楷体"/>
          <w:bCs/>
          <w:sz w:val="24"/>
        </w:rPr>
        <w:t>战略需求，开展既有传统继承又有开拓创新的教学与科研工作，为国家和省科技、经济、社会发展提供技术、人才和智力支撑。</w:t>
      </w:r>
      <w:r w:rsidRPr="007B5D5E">
        <w:rPr>
          <w:rFonts w:ascii="楷体" w:eastAsia="楷体" w:hAnsi="楷体" w:hint="eastAsia"/>
          <w:b/>
          <w:bCs/>
          <w:sz w:val="24"/>
          <w:u w:val="single"/>
        </w:rPr>
        <w:t>在</w:t>
      </w:r>
      <w:r w:rsidRPr="007B5D5E">
        <w:rPr>
          <w:rFonts w:ascii="楷体" w:eastAsia="楷体" w:hAnsi="楷体" w:hint="eastAsia"/>
          <w:b/>
          <w:bCs/>
          <w:sz w:val="24"/>
          <w:u w:val="single"/>
        </w:rPr>
        <w:t>植物生长发育调控及其应用</w:t>
      </w:r>
      <w:r w:rsidRPr="007B5D5E">
        <w:rPr>
          <w:rFonts w:ascii="楷体" w:eastAsia="楷体" w:hAnsi="楷体" w:hint="eastAsia"/>
          <w:b/>
          <w:bCs/>
          <w:sz w:val="24"/>
          <w:u w:val="single"/>
        </w:rPr>
        <w:t>方向</w:t>
      </w:r>
      <w:r w:rsidRPr="007B5D5E">
        <w:rPr>
          <w:rFonts w:ascii="楷体" w:eastAsia="楷体" w:hAnsi="楷体"/>
          <w:b/>
          <w:bCs/>
          <w:sz w:val="24"/>
          <w:u w:val="single"/>
        </w:rPr>
        <w:t>，</w:t>
      </w:r>
      <w:proofErr w:type="gramStart"/>
      <w:r w:rsidRPr="007B5D5E">
        <w:rPr>
          <w:rFonts w:ascii="楷体" w:eastAsia="楷体" w:hAnsi="楷体"/>
          <w:bCs/>
          <w:sz w:val="24"/>
        </w:rPr>
        <w:t>以模式</w:t>
      </w:r>
      <w:proofErr w:type="gramEnd"/>
      <w:r w:rsidRPr="007B5D5E">
        <w:rPr>
          <w:rFonts w:ascii="楷体" w:eastAsia="楷体" w:hAnsi="楷体"/>
          <w:bCs/>
          <w:sz w:val="24"/>
        </w:rPr>
        <w:t>植物和南方主要</w:t>
      </w:r>
      <w:r w:rsidRPr="007B5D5E">
        <w:rPr>
          <w:rFonts w:ascii="楷体" w:eastAsia="楷体" w:hAnsi="楷体" w:hint="eastAsia"/>
          <w:bCs/>
          <w:sz w:val="24"/>
        </w:rPr>
        <w:t>特</w:t>
      </w:r>
      <w:r w:rsidRPr="007B5D5E">
        <w:rPr>
          <w:rFonts w:ascii="楷体" w:eastAsia="楷体" w:hAnsi="楷体"/>
          <w:bCs/>
          <w:sz w:val="24"/>
        </w:rPr>
        <w:t>色</w:t>
      </w:r>
      <w:r w:rsidRPr="007B5D5E">
        <w:rPr>
          <w:rFonts w:ascii="楷体" w:eastAsia="楷体" w:hAnsi="楷体"/>
          <w:bCs/>
          <w:sz w:val="24"/>
        </w:rPr>
        <w:t xml:space="preserve">经济植物为材料, </w:t>
      </w:r>
      <w:r w:rsidRPr="007B5D5E">
        <w:rPr>
          <w:rFonts w:ascii="楷体" w:eastAsia="楷体" w:hAnsi="楷体" w:hint="eastAsia"/>
          <w:bCs/>
          <w:sz w:val="24"/>
        </w:rPr>
        <w:t>从植物信号转导入手，分离和鉴定调控植物器官形态建成和环境适应的关键基因，深入阐明植物生长发育与环境适应的调控网络，为作物的分子设计育种提供基因资源和理论基础；在</w:t>
      </w:r>
      <w:r w:rsidRPr="007B5D5E">
        <w:rPr>
          <w:rFonts w:ascii="楷体" w:eastAsia="楷体" w:hAnsi="楷体"/>
          <w:bCs/>
          <w:sz w:val="24"/>
        </w:rPr>
        <w:t>分析</w:t>
      </w:r>
      <w:r w:rsidRPr="007B5D5E">
        <w:rPr>
          <w:rFonts w:ascii="楷体" w:eastAsia="楷体" w:hAnsi="楷体" w:hint="eastAsia"/>
          <w:bCs/>
          <w:sz w:val="24"/>
        </w:rPr>
        <w:t>华南</w:t>
      </w:r>
      <w:r w:rsidRPr="007B5D5E">
        <w:rPr>
          <w:rFonts w:ascii="楷体" w:eastAsia="楷体" w:hAnsi="楷体"/>
          <w:bCs/>
          <w:sz w:val="24"/>
        </w:rPr>
        <w:t>特色植物资源重要性</w:t>
      </w:r>
      <w:r w:rsidRPr="007B5D5E">
        <w:rPr>
          <w:rFonts w:ascii="楷体" w:eastAsia="楷体" w:hAnsi="楷体" w:hint="eastAsia"/>
          <w:bCs/>
          <w:sz w:val="24"/>
        </w:rPr>
        <w:t>的</w:t>
      </w:r>
      <w:r w:rsidRPr="007B5D5E">
        <w:rPr>
          <w:rFonts w:ascii="楷体" w:eastAsia="楷体" w:hAnsi="楷体"/>
          <w:bCs/>
          <w:sz w:val="24"/>
        </w:rPr>
        <w:t>基础上，聚焦于</w:t>
      </w:r>
      <w:r w:rsidRPr="007B5D5E">
        <w:rPr>
          <w:rFonts w:ascii="楷体" w:eastAsia="楷体" w:hAnsi="楷体" w:hint="eastAsia"/>
          <w:bCs/>
          <w:sz w:val="24"/>
        </w:rPr>
        <w:t>“广三系”水稻杂交育种技术</w:t>
      </w:r>
      <w:r w:rsidRPr="007B5D5E">
        <w:rPr>
          <w:rFonts w:ascii="楷体" w:eastAsia="楷体" w:hAnsi="楷体"/>
          <w:bCs/>
          <w:sz w:val="24"/>
        </w:rPr>
        <w:t>的研发、甜玉米</w:t>
      </w:r>
      <w:r w:rsidRPr="007B5D5E">
        <w:rPr>
          <w:rFonts w:ascii="楷体" w:eastAsia="楷体" w:hAnsi="楷体" w:hint="eastAsia"/>
          <w:bCs/>
          <w:sz w:val="24"/>
        </w:rPr>
        <w:t>、</w:t>
      </w:r>
      <w:r w:rsidRPr="007B5D5E">
        <w:rPr>
          <w:rFonts w:ascii="楷体" w:eastAsia="楷体" w:hAnsi="楷体"/>
          <w:bCs/>
          <w:sz w:val="24"/>
        </w:rPr>
        <w:t>饲草作物</w:t>
      </w:r>
      <w:r w:rsidRPr="007B5D5E">
        <w:rPr>
          <w:rFonts w:ascii="楷体" w:eastAsia="楷体" w:hAnsi="楷体" w:hint="eastAsia"/>
          <w:bCs/>
          <w:sz w:val="24"/>
        </w:rPr>
        <w:t>和</w:t>
      </w:r>
      <w:r w:rsidRPr="007B5D5E">
        <w:rPr>
          <w:rFonts w:ascii="楷体" w:eastAsia="楷体" w:hAnsi="楷体"/>
          <w:bCs/>
          <w:sz w:val="24"/>
        </w:rPr>
        <w:t>特色</w:t>
      </w:r>
      <w:r w:rsidRPr="007B5D5E">
        <w:rPr>
          <w:rFonts w:ascii="楷体" w:eastAsia="楷体" w:hAnsi="楷体" w:hint="eastAsia"/>
          <w:bCs/>
          <w:sz w:val="24"/>
        </w:rPr>
        <w:t>经</w:t>
      </w:r>
      <w:r w:rsidRPr="007B5D5E">
        <w:rPr>
          <w:rFonts w:ascii="楷体" w:eastAsia="楷体" w:hAnsi="楷体"/>
          <w:bCs/>
          <w:sz w:val="24"/>
        </w:rPr>
        <w:t>济</w:t>
      </w:r>
      <w:r w:rsidRPr="007B5D5E">
        <w:rPr>
          <w:rFonts w:ascii="楷体" w:eastAsia="楷体" w:hAnsi="楷体" w:hint="eastAsia"/>
          <w:bCs/>
          <w:sz w:val="24"/>
        </w:rPr>
        <w:t>植物</w:t>
      </w:r>
      <w:r w:rsidRPr="007B5D5E">
        <w:rPr>
          <w:rFonts w:ascii="楷体" w:eastAsia="楷体" w:hAnsi="楷体" w:hint="eastAsia"/>
          <w:bCs/>
          <w:sz w:val="24"/>
        </w:rPr>
        <w:t>新</w:t>
      </w:r>
      <w:r w:rsidRPr="007B5D5E">
        <w:rPr>
          <w:rFonts w:ascii="楷体" w:eastAsia="楷体" w:hAnsi="楷体"/>
          <w:bCs/>
          <w:sz w:val="24"/>
        </w:rPr>
        <w:t>种质挖掘和新品种培育及应用技术体系的开发等</w:t>
      </w:r>
      <w:r w:rsidRPr="007B5D5E">
        <w:rPr>
          <w:rFonts w:ascii="楷体" w:eastAsia="楷体" w:hAnsi="楷体" w:hint="eastAsia"/>
          <w:bCs/>
          <w:sz w:val="24"/>
        </w:rPr>
        <w:t>重要领域。</w:t>
      </w:r>
      <w:r w:rsidR="007B5D5E" w:rsidRPr="007B5D5E">
        <w:rPr>
          <w:rFonts w:ascii="楷体" w:eastAsia="楷体" w:hAnsi="楷体" w:hint="eastAsia"/>
          <w:b/>
          <w:bCs/>
          <w:sz w:val="24"/>
          <w:u w:val="single"/>
        </w:rPr>
        <w:t>在</w:t>
      </w:r>
      <w:r w:rsidRPr="00DD4B85">
        <w:rPr>
          <w:rFonts w:ascii="楷体" w:eastAsia="楷体" w:hAnsi="楷体" w:cs="Times New Roman" w:hint="eastAsia"/>
          <w:b/>
          <w:bCs/>
          <w:sz w:val="24"/>
          <w:szCs w:val="24"/>
          <w:u w:val="single"/>
        </w:rPr>
        <w:t>动物生长发育调控及其利用</w:t>
      </w:r>
      <w:r w:rsidR="007B5D5E" w:rsidRPr="007B5D5E">
        <w:rPr>
          <w:rFonts w:ascii="楷体" w:eastAsia="楷体" w:hAnsi="楷体" w:cs="Times New Roman" w:hint="eastAsia"/>
          <w:b/>
          <w:bCs/>
          <w:sz w:val="24"/>
          <w:szCs w:val="24"/>
          <w:u w:val="single"/>
        </w:rPr>
        <w:t>方向</w:t>
      </w:r>
      <w:r w:rsidR="007B5D5E" w:rsidRPr="007B5D5E">
        <w:rPr>
          <w:rFonts w:ascii="楷体" w:eastAsia="楷体" w:hAnsi="楷体" w:cs="Times New Roman"/>
          <w:b/>
          <w:bCs/>
          <w:sz w:val="24"/>
          <w:szCs w:val="24"/>
          <w:u w:val="single"/>
        </w:rPr>
        <w:t>，</w:t>
      </w:r>
      <w:r w:rsidR="007B5D5E" w:rsidRPr="007B5D5E">
        <w:rPr>
          <w:rFonts w:ascii="楷体" w:eastAsia="楷体" w:hAnsi="楷体" w:cs="Times New Roman" w:hint="eastAsia"/>
          <w:bCs/>
          <w:sz w:val="24"/>
          <w:szCs w:val="24"/>
        </w:rPr>
        <w:t>以</w:t>
      </w:r>
      <w:r w:rsidRPr="007B5D5E">
        <w:rPr>
          <w:rFonts w:ascii="楷体" w:eastAsia="楷体" w:hAnsi="楷体" w:cs="Times New Roman" w:hint="eastAsia"/>
          <w:bCs/>
          <w:sz w:val="24"/>
          <w:szCs w:val="24"/>
        </w:rPr>
        <w:t>重要模式昆虫、农业有害昆虫、重要水产动物为研究材料，整合发育生物学、生物化学、表观遗传学、免疫学、进化生物学、生物信息学等优势力量，研究动物生长发育的分子调控机理及其潜在的应用价值，为开发环境友好型害虫防控技术体系和提高水产动物优良种质创新提供技术服务和支撑，为培养和吸引动物学领域优秀人才做出贡献。</w:t>
      </w:r>
      <w:r w:rsidR="007B5D5E" w:rsidRPr="007B5D5E">
        <w:rPr>
          <w:rFonts w:ascii="楷体" w:eastAsia="楷体" w:hAnsi="楷体" w:cs="Times New Roman" w:hint="eastAsia"/>
          <w:b/>
          <w:bCs/>
          <w:sz w:val="24"/>
          <w:szCs w:val="24"/>
          <w:u w:val="single"/>
        </w:rPr>
        <w:t>在</w:t>
      </w:r>
      <w:r w:rsidRPr="00DD4B85">
        <w:rPr>
          <w:rFonts w:ascii="楷体" w:eastAsia="楷体" w:hAnsi="楷体" w:cs="Times New Roman" w:hint="eastAsia"/>
          <w:b/>
          <w:bCs/>
          <w:sz w:val="24"/>
          <w:szCs w:val="24"/>
          <w:u w:val="single"/>
        </w:rPr>
        <w:t>细胞信号转导与细胞工程</w:t>
      </w:r>
      <w:r w:rsidR="007B5D5E" w:rsidRPr="007B5D5E">
        <w:rPr>
          <w:rFonts w:ascii="楷体" w:eastAsia="楷体" w:hAnsi="楷体" w:cs="Times New Roman" w:hint="eastAsia"/>
          <w:b/>
          <w:bCs/>
          <w:sz w:val="24"/>
          <w:szCs w:val="24"/>
          <w:u w:val="single"/>
        </w:rPr>
        <w:t>方向</w:t>
      </w:r>
      <w:r w:rsidR="007B5D5E" w:rsidRPr="007B5D5E">
        <w:rPr>
          <w:rFonts w:ascii="楷体" w:eastAsia="楷体" w:hAnsi="楷体" w:cs="Times New Roman"/>
          <w:b/>
          <w:bCs/>
          <w:sz w:val="24"/>
          <w:szCs w:val="24"/>
          <w:u w:val="single"/>
        </w:rPr>
        <w:t>，</w:t>
      </w:r>
      <w:r w:rsidR="007B5D5E" w:rsidRPr="007B5D5E">
        <w:rPr>
          <w:rFonts w:ascii="楷体" w:eastAsia="楷体" w:hAnsi="楷体" w:cs="Times New Roman" w:hint="eastAsia"/>
          <w:bCs/>
          <w:sz w:val="24"/>
          <w:szCs w:val="24"/>
        </w:rPr>
        <w:t>主</w:t>
      </w:r>
      <w:r w:rsidR="007B5D5E" w:rsidRPr="007B5D5E">
        <w:rPr>
          <w:rFonts w:ascii="楷体" w:eastAsia="楷体" w:hAnsi="楷体" w:cs="Times New Roman"/>
          <w:bCs/>
          <w:sz w:val="24"/>
          <w:szCs w:val="24"/>
        </w:rPr>
        <w:t>要研究</w:t>
      </w:r>
      <w:r w:rsidRPr="007B5D5E">
        <w:rPr>
          <w:rFonts w:ascii="楷体" w:eastAsia="楷体" w:hAnsi="楷体" w:cs="Times New Roman" w:hint="eastAsia"/>
          <w:bCs/>
          <w:sz w:val="24"/>
          <w:szCs w:val="24"/>
        </w:rPr>
        <w:t xml:space="preserve">   </w:t>
      </w:r>
      <w:r w:rsidRPr="007B5D5E">
        <w:rPr>
          <w:rFonts w:ascii="楷体" w:eastAsia="楷体" w:hAnsi="楷体" w:cs="Times New Roman"/>
          <w:b/>
          <w:bCs/>
          <w:sz w:val="24"/>
          <w:szCs w:val="24"/>
        </w:rPr>
        <w:t xml:space="preserve"> </w:t>
      </w:r>
      <w:r w:rsidRPr="007B5D5E">
        <w:rPr>
          <w:rFonts w:ascii="楷体" w:eastAsia="楷体" w:hAnsi="楷体" w:cs="Times New Roman" w:hint="eastAsia"/>
          <w:bCs/>
          <w:sz w:val="24"/>
          <w:szCs w:val="24"/>
        </w:rPr>
        <w:t>动物学习记忆、神经退行性疾病、肿瘤生物学以及植物细胞自噬和胁迫响应等重要生物学过程的信号转导机制，并基于细胞信号转导基本理论开展纳米材料靶向细胞信号通路调控、肿瘤诊疗以及生物医学光学与分子诊断等技术的研究和开发，为神经退行性疾病和肿瘤的诊疗以</w:t>
      </w:r>
      <w:bookmarkStart w:id="0" w:name="_GoBack"/>
      <w:bookmarkEnd w:id="0"/>
      <w:r w:rsidRPr="007B5D5E">
        <w:rPr>
          <w:rFonts w:ascii="楷体" w:eastAsia="楷体" w:hAnsi="楷体" w:cs="Times New Roman" w:hint="eastAsia"/>
          <w:bCs/>
          <w:sz w:val="24"/>
          <w:szCs w:val="24"/>
        </w:rPr>
        <w:t>及植物分子育种和动植物细胞工程提供理论和应用开发依据。</w:t>
      </w:r>
    </w:p>
    <w:p w:rsidR="007B5D5E" w:rsidRDefault="007B5D5E" w:rsidP="00DD4B85">
      <w:pPr>
        <w:adjustRightInd w:val="0"/>
        <w:snapToGrid w:val="0"/>
        <w:spacing w:beforeLines="50" w:before="156" w:afterLines="50" w:after="156"/>
        <w:ind w:firstLineChars="200" w:firstLine="480"/>
        <w:rPr>
          <w:rFonts w:ascii="楷体" w:eastAsia="楷体" w:hAnsi="楷体" w:cs="Times New Roman"/>
          <w:bCs/>
          <w:sz w:val="24"/>
          <w:szCs w:val="24"/>
        </w:rPr>
      </w:pPr>
    </w:p>
    <w:p w:rsidR="003F5A50" w:rsidRDefault="003F5A50" w:rsidP="00DD4B85">
      <w:pPr>
        <w:adjustRightInd w:val="0"/>
        <w:snapToGrid w:val="0"/>
        <w:spacing w:beforeLines="50" w:before="156" w:afterLines="50" w:after="156"/>
        <w:ind w:firstLineChars="200" w:firstLine="480"/>
        <w:rPr>
          <w:rFonts w:ascii="楷体" w:eastAsia="楷体" w:hAnsi="楷体" w:cs="Times New Roman"/>
          <w:bCs/>
          <w:sz w:val="24"/>
          <w:szCs w:val="24"/>
        </w:rPr>
      </w:pPr>
    </w:p>
    <w:p w:rsidR="003F5A50" w:rsidRDefault="003F5A50" w:rsidP="00DD4B85">
      <w:pPr>
        <w:adjustRightInd w:val="0"/>
        <w:snapToGrid w:val="0"/>
        <w:spacing w:beforeLines="50" w:before="156" w:afterLines="50" w:after="156"/>
        <w:ind w:firstLineChars="200" w:firstLine="480"/>
        <w:rPr>
          <w:rFonts w:ascii="楷体" w:eastAsia="楷体" w:hAnsi="楷体" w:cs="Times New Roman"/>
          <w:bCs/>
          <w:sz w:val="24"/>
          <w:szCs w:val="24"/>
        </w:rPr>
      </w:pPr>
    </w:p>
    <w:p w:rsidR="003F5A50" w:rsidRDefault="003F5A50" w:rsidP="00DD4B85">
      <w:pPr>
        <w:adjustRightInd w:val="0"/>
        <w:snapToGrid w:val="0"/>
        <w:spacing w:beforeLines="50" w:before="156" w:afterLines="50" w:after="156"/>
        <w:ind w:firstLineChars="200" w:firstLine="480"/>
        <w:rPr>
          <w:rFonts w:ascii="楷体" w:eastAsia="楷体" w:hAnsi="楷体" w:cs="Times New Roman"/>
          <w:bCs/>
          <w:sz w:val="24"/>
          <w:szCs w:val="24"/>
        </w:rPr>
      </w:pPr>
    </w:p>
    <w:p w:rsidR="003F5A50" w:rsidRDefault="003F5A50" w:rsidP="00DD4B85">
      <w:pPr>
        <w:adjustRightInd w:val="0"/>
        <w:snapToGrid w:val="0"/>
        <w:spacing w:beforeLines="50" w:before="156" w:afterLines="50" w:after="156"/>
        <w:ind w:firstLineChars="200" w:firstLine="480"/>
        <w:rPr>
          <w:rFonts w:ascii="楷体" w:eastAsia="楷体" w:hAnsi="楷体" w:cs="Times New Roman"/>
          <w:bCs/>
          <w:sz w:val="24"/>
          <w:szCs w:val="24"/>
        </w:rPr>
      </w:pPr>
    </w:p>
    <w:p w:rsidR="003F5A50" w:rsidRDefault="003F5A50" w:rsidP="00DD4B85">
      <w:pPr>
        <w:adjustRightInd w:val="0"/>
        <w:snapToGrid w:val="0"/>
        <w:spacing w:beforeLines="50" w:before="156" w:afterLines="50" w:after="156"/>
        <w:ind w:firstLineChars="200" w:firstLine="480"/>
        <w:rPr>
          <w:rFonts w:ascii="楷体" w:eastAsia="楷体" w:hAnsi="楷体" w:cs="Times New Roman" w:hint="eastAsia"/>
          <w:bCs/>
          <w:sz w:val="24"/>
          <w:szCs w:val="24"/>
        </w:rPr>
      </w:pPr>
    </w:p>
    <w:p w:rsidR="007B5D5E" w:rsidRDefault="007B5D5E" w:rsidP="00DD4B85">
      <w:pPr>
        <w:adjustRightInd w:val="0"/>
        <w:snapToGrid w:val="0"/>
        <w:spacing w:beforeLines="50" w:before="156" w:afterLines="50" w:after="156"/>
        <w:ind w:firstLineChars="200" w:firstLine="480"/>
        <w:rPr>
          <w:rFonts w:ascii="楷体" w:eastAsia="楷体" w:hAnsi="楷体" w:cs="Times New Roman" w:hint="eastAsia"/>
          <w:bCs/>
          <w:sz w:val="24"/>
          <w:szCs w:val="24"/>
        </w:rPr>
      </w:pPr>
      <w:r>
        <w:rPr>
          <w:rFonts w:ascii="楷体" w:eastAsia="楷体" w:hAnsi="楷体" w:cs="Times New Roman" w:hint="eastAsia"/>
          <w:bCs/>
          <w:sz w:val="24"/>
          <w:szCs w:val="24"/>
        </w:rPr>
        <w:t>遗传</w:t>
      </w:r>
      <w:r>
        <w:rPr>
          <w:rFonts w:ascii="楷体" w:eastAsia="楷体" w:hAnsi="楷体" w:cs="Times New Roman"/>
          <w:bCs/>
          <w:sz w:val="24"/>
          <w:szCs w:val="24"/>
        </w:rPr>
        <w:t>学科</w:t>
      </w:r>
      <w:r w:rsidR="003F5A50">
        <w:rPr>
          <w:rFonts w:ascii="楷体" w:eastAsia="楷体" w:hAnsi="楷体" w:cs="Times New Roman" w:hint="eastAsia"/>
          <w:bCs/>
          <w:sz w:val="24"/>
          <w:szCs w:val="24"/>
        </w:rPr>
        <w:t>简</w:t>
      </w:r>
      <w:r w:rsidR="003F5A50">
        <w:rPr>
          <w:rFonts w:ascii="楷体" w:eastAsia="楷体" w:hAnsi="楷体" w:cs="Times New Roman"/>
          <w:bCs/>
          <w:sz w:val="24"/>
          <w:szCs w:val="24"/>
        </w:rPr>
        <w:t>介</w:t>
      </w:r>
    </w:p>
    <w:p w:rsidR="007B5D5E" w:rsidRPr="003F5A50" w:rsidRDefault="003F5A50" w:rsidP="00DD4B85">
      <w:pPr>
        <w:adjustRightInd w:val="0"/>
        <w:snapToGrid w:val="0"/>
        <w:spacing w:beforeLines="50" w:before="156" w:afterLines="50" w:after="156"/>
        <w:ind w:firstLineChars="200" w:firstLine="480"/>
        <w:rPr>
          <w:rFonts w:ascii="楷体" w:eastAsia="楷体" w:hAnsi="楷体" w:hint="eastAsia"/>
          <w:bCs/>
          <w:sz w:val="24"/>
        </w:rPr>
      </w:pPr>
      <w:r w:rsidRPr="003F5A50">
        <w:rPr>
          <w:rFonts w:ascii="楷体" w:eastAsia="楷体" w:hAnsi="楷体" w:cs="Times New Roman" w:hint="eastAsia"/>
          <w:bCs/>
          <w:sz w:val="24"/>
          <w:szCs w:val="24"/>
        </w:rPr>
        <w:t>依托遗传</w:t>
      </w:r>
      <w:r w:rsidRPr="003F5A50">
        <w:rPr>
          <w:rFonts w:ascii="楷体" w:eastAsia="楷体" w:hAnsi="楷体" w:hint="eastAsia"/>
          <w:bCs/>
          <w:sz w:val="24"/>
        </w:rPr>
        <w:t>学科</w:t>
      </w:r>
      <w:r w:rsidRPr="003F5A50">
        <w:rPr>
          <w:rFonts w:ascii="楷体" w:eastAsia="楷体" w:hAnsi="楷体" w:hint="eastAsia"/>
          <w:bCs/>
          <w:sz w:val="24"/>
        </w:rPr>
        <w:t>和</w:t>
      </w:r>
      <w:r w:rsidRPr="007B5D5E">
        <w:rPr>
          <w:rFonts w:ascii="楷体" w:eastAsia="楷体" w:hAnsi="楷体"/>
          <w:bCs/>
          <w:sz w:val="24"/>
        </w:rPr>
        <w:t>广东省植物发育生物工程重点实验室</w:t>
      </w:r>
      <w:r w:rsidRPr="003F5A50">
        <w:rPr>
          <w:rFonts w:ascii="楷体" w:eastAsia="楷体" w:hAnsi="楷体" w:hint="eastAsia"/>
          <w:bCs/>
          <w:sz w:val="24"/>
        </w:rPr>
        <w:t>为平台，开展</w:t>
      </w:r>
      <w:proofErr w:type="gramStart"/>
      <w:r w:rsidRPr="003F5A50">
        <w:rPr>
          <w:rFonts w:ascii="楷体" w:eastAsia="楷体" w:hAnsi="楷体" w:hint="eastAsia"/>
          <w:bCs/>
          <w:sz w:val="24"/>
        </w:rPr>
        <w:t>本方向</w:t>
      </w:r>
      <w:proofErr w:type="gramEnd"/>
      <w:r w:rsidRPr="003F5A50">
        <w:rPr>
          <w:rFonts w:ascii="楷体" w:eastAsia="楷体" w:hAnsi="楷体" w:hint="eastAsia"/>
          <w:bCs/>
          <w:sz w:val="24"/>
        </w:rPr>
        <w:t>领域内若干重大基础性问题。如植物发育及其调控信号转导分子机理以及植物</w:t>
      </w:r>
      <w:r w:rsidRPr="003F5A50">
        <w:rPr>
          <w:rFonts w:ascii="楷体" w:eastAsia="楷体" w:hAnsi="楷体" w:hint="eastAsia"/>
          <w:bCs/>
          <w:sz w:val="24"/>
        </w:rPr>
        <w:t>发育</w:t>
      </w:r>
      <w:r w:rsidRPr="003F5A50">
        <w:rPr>
          <w:rFonts w:ascii="楷体" w:eastAsia="楷体" w:hAnsi="楷体"/>
          <w:bCs/>
          <w:sz w:val="24"/>
        </w:rPr>
        <w:t>和逆境胁迫</w:t>
      </w:r>
      <w:r w:rsidRPr="003F5A50">
        <w:rPr>
          <w:rFonts w:ascii="楷体" w:eastAsia="楷体" w:hAnsi="楷体"/>
          <w:bCs/>
          <w:sz w:val="24"/>
        </w:rPr>
        <w:t>表观遗传机制</w:t>
      </w:r>
      <w:r w:rsidRPr="003F5A50">
        <w:rPr>
          <w:rFonts w:ascii="楷体" w:eastAsia="楷体" w:hAnsi="楷体" w:hint="eastAsia"/>
          <w:bCs/>
          <w:sz w:val="24"/>
        </w:rPr>
        <w:t>等方面的研究。</w:t>
      </w:r>
    </w:p>
    <w:sectPr w:rsidR="007B5D5E" w:rsidRPr="003F5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0189D"/>
    <w:multiLevelType w:val="hybridMultilevel"/>
    <w:tmpl w:val="EAFC7034"/>
    <w:lvl w:ilvl="0" w:tplc="0DC819C0">
      <w:start w:val="1"/>
      <w:numFmt w:val="decimal"/>
      <w:lvlText w:val="（%1"/>
      <w:lvlJc w:val="left"/>
      <w:pPr>
        <w:ind w:left="668" w:hanging="370"/>
      </w:pPr>
      <w:rPr>
        <w:rFonts w:ascii="Times New Roman" w:eastAsia="华文楷体" w:hAnsi="华文楷体" w:cs="Times New Roman"/>
      </w:rPr>
    </w:lvl>
    <w:lvl w:ilvl="1" w:tplc="04090019">
      <w:start w:val="1"/>
      <w:numFmt w:val="lowerLetter"/>
      <w:lvlText w:val="%2)"/>
      <w:lvlJc w:val="left"/>
      <w:pPr>
        <w:ind w:left="1138" w:hanging="420"/>
      </w:pPr>
    </w:lvl>
    <w:lvl w:ilvl="2" w:tplc="0409001B" w:tentative="1">
      <w:start w:val="1"/>
      <w:numFmt w:val="lowerRoman"/>
      <w:lvlText w:val="%3."/>
      <w:lvlJc w:val="right"/>
      <w:pPr>
        <w:ind w:left="1558" w:hanging="420"/>
      </w:pPr>
    </w:lvl>
    <w:lvl w:ilvl="3" w:tplc="0409000F" w:tentative="1">
      <w:start w:val="1"/>
      <w:numFmt w:val="decimal"/>
      <w:lvlText w:val="%4."/>
      <w:lvlJc w:val="left"/>
      <w:pPr>
        <w:ind w:left="1978" w:hanging="420"/>
      </w:pPr>
    </w:lvl>
    <w:lvl w:ilvl="4" w:tplc="04090019" w:tentative="1">
      <w:start w:val="1"/>
      <w:numFmt w:val="lowerLetter"/>
      <w:lvlText w:val="%5)"/>
      <w:lvlJc w:val="left"/>
      <w:pPr>
        <w:ind w:left="2398" w:hanging="420"/>
      </w:pPr>
    </w:lvl>
    <w:lvl w:ilvl="5" w:tplc="0409001B" w:tentative="1">
      <w:start w:val="1"/>
      <w:numFmt w:val="lowerRoman"/>
      <w:lvlText w:val="%6."/>
      <w:lvlJc w:val="right"/>
      <w:pPr>
        <w:ind w:left="2818" w:hanging="420"/>
      </w:pPr>
    </w:lvl>
    <w:lvl w:ilvl="6" w:tplc="0409000F" w:tentative="1">
      <w:start w:val="1"/>
      <w:numFmt w:val="decimal"/>
      <w:lvlText w:val="%7."/>
      <w:lvlJc w:val="left"/>
      <w:pPr>
        <w:ind w:left="3238" w:hanging="420"/>
      </w:pPr>
    </w:lvl>
    <w:lvl w:ilvl="7" w:tplc="04090019" w:tentative="1">
      <w:start w:val="1"/>
      <w:numFmt w:val="lowerLetter"/>
      <w:lvlText w:val="%8)"/>
      <w:lvlJc w:val="left"/>
      <w:pPr>
        <w:ind w:left="3658" w:hanging="420"/>
      </w:pPr>
    </w:lvl>
    <w:lvl w:ilvl="8" w:tplc="0409001B" w:tentative="1">
      <w:start w:val="1"/>
      <w:numFmt w:val="lowerRoman"/>
      <w:lvlText w:val="%9."/>
      <w:lvlJc w:val="right"/>
      <w:pPr>
        <w:ind w:left="40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BF"/>
    <w:rsid w:val="00045BBF"/>
    <w:rsid w:val="003F5A50"/>
    <w:rsid w:val="00456036"/>
    <w:rsid w:val="006E5C47"/>
    <w:rsid w:val="007B5D5E"/>
    <w:rsid w:val="00DD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72C4"/>
  <w15:chartTrackingRefBased/>
  <w15:docId w15:val="{B8CC0BB0-4FC6-4768-9D0D-0B78FB21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B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5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2020-08-20T08:31:00Z</dcterms:created>
  <dcterms:modified xsi:type="dcterms:W3CDTF">2020-08-20T09:00:00Z</dcterms:modified>
</cp:coreProperties>
</file>