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67" w:rsidRPr="00461C6A" w:rsidRDefault="00D1299E" w:rsidP="008D181D">
      <w:pPr>
        <w:tabs>
          <w:tab w:val="left" w:pos="1125"/>
        </w:tabs>
        <w:spacing w:afterLines="100" w:line="520" w:lineRule="exact"/>
        <w:jc w:val="center"/>
        <w:rPr>
          <w:rFonts w:ascii="Times New Roman" w:hAnsi="Times New Roman"/>
          <w:b/>
          <w:color w:val="000000"/>
          <w:sz w:val="28"/>
          <w:szCs w:val="28"/>
        </w:rPr>
      </w:pPr>
      <w:r w:rsidRPr="00461C6A">
        <w:rPr>
          <w:rFonts w:hint="eastAsia"/>
          <w:b/>
          <w:bCs/>
          <w:sz w:val="28"/>
          <w:szCs w:val="28"/>
        </w:rPr>
        <w:t>华南师范大学</w:t>
      </w:r>
      <w:r w:rsidR="00DB6667" w:rsidRPr="00461C6A">
        <w:rPr>
          <w:rFonts w:ascii="Times New Roman" w:hAnsi="Times New Roman" w:hint="eastAsia"/>
          <w:b/>
          <w:color w:val="000000"/>
          <w:sz w:val="28"/>
          <w:szCs w:val="28"/>
        </w:rPr>
        <w:t>药学一级学科</w:t>
      </w:r>
      <w:r w:rsidR="009546E0" w:rsidRPr="00461C6A">
        <w:rPr>
          <w:rFonts w:ascii="Times New Roman" w:hAnsi="Times New Roman" w:hint="eastAsia"/>
          <w:b/>
          <w:color w:val="000000"/>
          <w:sz w:val="28"/>
          <w:szCs w:val="28"/>
        </w:rPr>
        <w:t>硕士</w:t>
      </w:r>
      <w:r w:rsidR="00DB6667" w:rsidRPr="00461C6A">
        <w:rPr>
          <w:rFonts w:ascii="Times New Roman" w:hAnsi="Times New Roman" w:hint="eastAsia"/>
          <w:b/>
          <w:color w:val="000000"/>
          <w:sz w:val="28"/>
          <w:szCs w:val="28"/>
        </w:rPr>
        <w:t>学位点介绍</w:t>
      </w:r>
    </w:p>
    <w:p w:rsidR="00A86A20" w:rsidRPr="007A44B2" w:rsidRDefault="002414F5" w:rsidP="008D181D">
      <w:pPr>
        <w:tabs>
          <w:tab w:val="left" w:pos="1125"/>
        </w:tabs>
        <w:spacing w:afterLines="100" w:line="520" w:lineRule="exact"/>
        <w:ind w:firstLineChars="200" w:firstLine="480"/>
        <w:jc w:val="both"/>
        <w:rPr>
          <w:rFonts w:ascii="Times New Roman" w:eastAsiaTheme="minorEastAsia" w:hAnsi="Times New Roman" w:cs="Times New Roman"/>
          <w:color w:val="000000"/>
          <w:sz w:val="24"/>
          <w:szCs w:val="24"/>
        </w:rPr>
      </w:pPr>
      <w:r w:rsidRPr="007A44B2">
        <w:rPr>
          <w:rFonts w:ascii="Times New Roman" w:eastAsiaTheme="minorEastAsia" w:hAnsiTheme="minorEastAsia" w:cs="Times New Roman"/>
          <w:color w:val="000000"/>
          <w:sz w:val="24"/>
          <w:szCs w:val="24"/>
        </w:rPr>
        <w:t>华南师范大学</w:t>
      </w:r>
      <w:r w:rsidRPr="00824935">
        <w:rPr>
          <w:rFonts w:ascii="Times New Roman" w:eastAsia="宋体" w:hAnsi="宋体" w:cs="Times New Roman"/>
          <w:color w:val="000000"/>
          <w:sz w:val="24"/>
          <w:szCs w:val="24"/>
        </w:rPr>
        <w:t>是省属高校中唯一的国家“双一流”</w:t>
      </w:r>
      <w:r>
        <w:rPr>
          <w:rFonts w:ascii="Times New Roman" w:eastAsiaTheme="minorEastAsia" w:hAnsiTheme="minorEastAsia" w:cs="Times New Roman"/>
          <w:color w:val="000000"/>
          <w:sz w:val="24"/>
          <w:szCs w:val="24"/>
        </w:rPr>
        <w:t>建设高校，药学方向师资和科研基础已完成前期积累</w:t>
      </w:r>
      <w:r w:rsidRPr="00824935">
        <w:rPr>
          <w:rFonts w:ascii="Times New Roman" w:eastAsia="宋体" w:hAnsi="宋体" w:cs="Times New Roman"/>
          <w:color w:val="000000"/>
          <w:sz w:val="24"/>
          <w:szCs w:val="24"/>
        </w:rPr>
        <w:t>。</w:t>
      </w:r>
      <w:r w:rsidR="006F457F" w:rsidRPr="007A44B2">
        <w:rPr>
          <w:rFonts w:ascii="Times New Roman" w:eastAsiaTheme="minorEastAsia" w:hAnsiTheme="minorEastAsia" w:cs="Times New Roman"/>
          <w:color w:val="000000"/>
          <w:sz w:val="24"/>
          <w:szCs w:val="24"/>
        </w:rPr>
        <w:t>本</w:t>
      </w:r>
      <w:r w:rsidR="00D71211">
        <w:rPr>
          <w:rFonts w:ascii="Times New Roman" w:eastAsiaTheme="minorEastAsia" w:hAnsiTheme="minorEastAsia" w:cs="Times New Roman"/>
          <w:color w:val="000000"/>
          <w:sz w:val="24"/>
          <w:szCs w:val="24"/>
        </w:rPr>
        <w:t>硕士</w:t>
      </w:r>
      <w:r w:rsidR="006F457F" w:rsidRPr="007A44B2">
        <w:rPr>
          <w:rFonts w:ascii="Times New Roman" w:eastAsiaTheme="minorEastAsia" w:hAnsiTheme="minorEastAsia" w:cs="Times New Roman"/>
          <w:color w:val="000000"/>
          <w:sz w:val="24"/>
          <w:szCs w:val="24"/>
        </w:rPr>
        <w:t>学位点是在华南师范大学生命科学学院于</w:t>
      </w:r>
      <w:r w:rsidR="006F457F" w:rsidRPr="007A44B2">
        <w:rPr>
          <w:rFonts w:ascii="Times New Roman" w:eastAsiaTheme="minorEastAsia" w:hAnsi="Times New Roman" w:cs="Times New Roman"/>
          <w:color w:val="000000"/>
          <w:sz w:val="24"/>
          <w:szCs w:val="24"/>
        </w:rPr>
        <w:t>2006</w:t>
      </w:r>
      <w:r w:rsidR="006F457F" w:rsidRPr="007A44B2">
        <w:rPr>
          <w:rFonts w:ascii="Times New Roman" w:eastAsiaTheme="minorEastAsia" w:hAnsiTheme="minorEastAsia" w:cs="Times New Roman"/>
          <w:color w:val="000000"/>
          <w:sz w:val="24"/>
          <w:szCs w:val="24"/>
        </w:rPr>
        <w:t>年</w:t>
      </w:r>
      <w:r w:rsidR="006F457F" w:rsidRPr="007A44B2">
        <w:rPr>
          <w:rFonts w:ascii="Times New Roman" w:eastAsiaTheme="minorEastAsia" w:hAnsi="Times New Roman" w:cs="Times New Roman"/>
          <w:color w:val="000000"/>
          <w:sz w:val="24"/>
          <w:szCs w:val="24"/>
        </w:rPr>
        <w:t>1</w:t>
      </w:r>
      <w:r w:rsidR="006F457F" w:rsidRPr="007A44B2">
        <w:rPr>
          <w:rFonts w:ascii="Times New Roman" w:eastAsiaTheme="minorEastAsia" w:hAnsiTheme="minorEastAsia" w:cs="Times New Roman"/>
          <w:color w:val="000000"/>
          <w:sz w:val="24"/>
          <w:szCs w:val="24"/>
        </w:rPr>
        <w:t>月成立的二级硕士学位点微生物与生化药学的基础</w:t>
      </w:r>
      <w:r w:rsidR="00105AE2" w:rsidRPr="007A44B2">
        <w:rPr>
          <w:rFonts w:ascii="Times New Roman" w:eastAsiaTheme="minorEastAsia" w:hAnsiTheme="minorEastAsia" w:cs="Times New Roman"/>
          <w:color w:val="000000"/>
          <w:sz w:val="24"/>
          <w:szCs w:val="24"/>
        </w:rPr>
        <w:t>上，融合应用化学二级硕士点的药物分离与分析方向建立和发展起来，并</w:t>
      </w:r>
      <w:r w:rsidR="00517DFF" w:rsidRPr="007A44B2">
        <w:rPr>
          <w:rFonts w:ascii="Times New Roman" w:eastAsiaTheme="minorEastAsia" w:hAnsiTheme="minorEastAsia" w:cs="Times New Roman"/>
          <w:color w:val="000000"/>
          <w:sz w:val="24"/>
          <w:szCs w:val="24"/>
        </w:rPr>
        <w:t>于</w:t>
      </w:r>
      <w:r w:rsidR="00517DFF" w:rsidRPr="007A44B2">
        <w:rPr>
          <w:rFonts w:ascii="Times New Roman" w:eastAsiaTheme="minorEastAsia" w:hAnsi="Times New Roman" w:cs="Times New Roman"/>
          <w:color w:val="000000"/>
          <w:sz w:val="24"/>
          <w:szCs w:val="24"/>
        </w:rPr>
        <w:t>2020</w:t>
      </w:r>
      <w:r w:rsidR="00517DFF" w:rsidRPr="007A44B2">
        <w:rPr>
          <w:rFonts w:ascii="Times New Roman" w:eastAsiaTheme="minorEastAsia" w:hAnsiTheme="minorEastAsia" w:cs="Times New Roman"/>
          <w:color w:val="000000"/>
          <w:sz w:val="24"/>
          <w:szCs w:val="24"/>
        </w:rPr>
        <w:t>年</w:t>
      </w:r>
      <w:r w:rsidR="00D2035B" w:rsidRPr="007A44B2">
        <w:rPr>
          <w:rFonts w:ascii="Times New Roman" w:eastAsiaTheme="minorEastAsia" w:hAnsi="Times New Roman" w:cs="Times New Roman"/>
          <w:color w:val="000000"/>
          <w:sz w:val="24"/>
          <w:szCs w:val="24"/>
        </w:rPr>
        <w:t>3</w:t>
      </w:r>
      <w:r w:rsidR="00D2035B" w:rsidRPr="007A44B2">
        <w:rPr>
          <w:rFonts w:ascii="Times New Roman" w:eastAsiaTheme="minorEastAsia" w:hAnsiTheme="minorEastAsia" w:cs="Times New Roman"/>
          <w:color w:val="000000"/>
          <w:sz w:val="24"/>
          <w:szCs w:val="24"/>
        </w:rPr>
        <w:t>月</w:t>
      </w:r>
      <w:r w:rsidR="00D2035B" w:rsidRPr="007A44B2">
        <w:rPr>
          <w:rFonts w:ascii="Times New Roman" w:eastAsiaTheme="minorEastAsia" w:hAnsi="Times New Roman" w:cs="Times New Roman"/>
          <w:color w:val="000000"/>
          <w:sz w:val="24"/>
          <w:szCs w:val="24"/>
        </w:rPr>
        <w:t>30</w:t>
      </w:r>
      <w:r w:rsidR="00D2035B" w:rsidRPr="007A44B2">
        <w:rPr>
          <w:rFonts w:ascii="Times New Roman" w:eastAsiaTheme="minorEastAsia" w:hAnsiTheme="minorEastAsia" w:cs="Times New Roman"/>
          <w:color w:val="000000"/>
          <w:sz w:val="24"/>
          <w:szCs w:val="24"/>
        </w:rPr>
        <w:t>日</w:t>
      </w:r>
      <w:r w:rsidR="00086A7C">
        <w:rPr>
          <w:rFonts w:ascii="Times New Roman" w:eastAsiaTheme="minorEastAsia" w:hAnsiTheme="minorEastAsia" w:cs="Times New Roman"/>
          <w:color w:val="000000"/>
          <w:sz w:val="24"/>
          <w:szCs w:val="24"/>
        </w:rPr>
        <w:t>最新</w:t>
      </w:r>
      <w:r w:rsidR="00517DFF" w:rsidRPr="007A44B2">
        <w:rPr>
          <w:rFonts w:ascii="Times New Roman" w:eastAsiaTheme="minorEastAsia" w:hAnsiTheme="minorEastAsia" w:cs="Times New Roman"/>
          <w:color w:val="000000"/>
          <w:sz w:val="24"/>
          <w:szCs w:val="24"/>
        </w:rPr>
        <w:t>获批。</w:t>
      </w:r>
    </w:p>
    <w:p w:rsidR="00A701A7" w:rsidRPr="00252590" w:rsidRDefault="006417B5" w:rsidP="008D181D">
      <w:pPr>
        <w:tabs>
          <w:tab w:val="left" w:pos="1125"/>
        </w:tabs>
        <w:spacing w:afterLines="100" w:line="520" w:lineRule="exact"/>
        <w:ind w:firstLineChars="200" w:firstLine="480"/>
        <w:jc w:val="both"/>
        <w:rPr>
          <w:rFonts w:ascii="Times New Roman" w:eastAsiaTheme="minorEastAsia" w:hAnsiTheme="minorEastAsia" w:cs="Times New Roman"/>
          <w:color w:val="000000"/>
          <w:sz w:val="24"/>
          <w:szCs w:val="24"/>
        </w:rPr>
      </w:pPr>
      <w:r w:rsidRPr="007A44B2">
        <w:rPr>
          <w:rFonts w:ascii="Times New Roman" w:eastAsiaTheme="minorEastAsia" w:hAnsiTheme="minorEastAsia" w:cs="Times New Roman"/>
          <w:color w:val="000000"/>
          <w:sz w:val="24"/>
          <w:szCs w:val="24"/>
        </w:rPr>
        <w:t>华南师范大学</w:t>
      </w:r>
      <w:r w:rsidR="005F0F2F" w:rsidRPr="007A44B2">
        <w:rPr>
          <w:rFonts w:ascii="Times New Roman" w:eastAsiaTheme="minorEastAsia" w:hAnsiTheme="minorEastAsia" w:cs="Times New Roman"/>
          <w:color w:val="000000"/>
          <w:sz w:val="24"/>
          <w:szCs w:val="24"/>
        </w:rPr>
        <w:t>生命科学学院</w:t>
      </w:r>
      <w:r w:rsidR="006F457F" w:rsidRPr="007A44B2">
        <w:rPr>
          <w:rFonts w:ascii="Times New Roman" w:eastAsiaTheme="minorEastAsia" w:hAnsiTheme="minorEastAsia" w:cs="Times New Roman"/>
          <w:color w:val="000000"/>
          <w:sz w:val="24"/>
          <w:szCs w:val="24"/>
        </w:rPr>
        <w:t>在药学、细胞生物学、微生物学和药用动植物资源开发利用等领域有良好的研究基础。本学位点的研究方向主要围绕生物来源的天然与生化药物和药用生物资源的开发利用等，凝练出药物化学、药剂学、药理学、药物分析以及微生物与生化药学五</w:t>
      </w:r>
      <w:r w:rsidR="00A67AC8" w:rsidRPr="007A44B2">
        <w:rPr>
          <w:rFonts w:ascii="Times New Roman" w:eastAsiaTheme="minorEastAsia" w:hAnsiTheme="minorEastAsia" w:cs="Times New Roman"/>
          <w:color w:val="000000"/>
          <w:sz w:val="24"/>
          <w:szCs w:val="24"/>
        </w:rPr>
        <w:t>个研究方向，培养相关产业和社会发展最需要的药学专业高级技术人才。</w:t>
      </w:r>
      <w:r w:rsidR="00252590" w:rsidRPr="007A44B2">
        <w:rPr>
          <w:rFonts w:ascii="Times New Roman" w:eastAsiaTheme="minorEastAsia" w:hAnsiTheme="minorEastAsia" w:cs="Times New Roman"/>
          <w:color w:val="000000"/>
          <w:sz w:val="24"/>
          <w:szCs w:val="24"/>
        </w:rPr>
        <w:t>近年在医学、药学类期刊如</w:t>
      </w:r>
      <w:r w:rsidR="00252590" w:rsidRPr="007A44B2">
        <w:rPr>
          <w:rFonts w:ascii="Times New Roman" w:eastAsiaTheme="minorEastAsia" w:hAnsi="Times New Roman" w:cs="Times New Roman"/>
          <w:color w:val="000000"/>
          <w:sz w:val="24"/>
          <w:szCs w:val="24"/>
        </w:rPr>
        <w:t xml:space="preserve"> </w:t>
      </w:r>
      <w:proofErr w:type="spellStart"/>
      <w:r w:rsidR="00252590" w:rsidRPr="007A44B2">
        <w:rPr>
          <w:rFonts w:ascii="Times New Roman" w:eastAsiaTheme="minorEastAsia" w:hAnsi="Times New Roman" w:cs="Times New Roman"/>
          <w:color w:val="000000"/>
          <w:sz w:val="24"/>
          <w:szCs w:val="24"/>
        </w:rPr>
        <w:t>Theranostics</w:t>
      </w:r>
      <w:proofErr w:type="spellEnd"/>
      <w:r w:rsidR="00252590" w:rsidRPr="007A44B2">
        <w:rPr>
          <w:rFonts w:ascii="Times New Roman" w:eastAsiaTheme="minorEastAsia" w:hAnsi="Times New Roman" w:cs="Times New Roman"/>
          <w:color w:val="000000"/>
          <w:sz w:val="24"/>
          <w:szCs w:val="24"/>
        </w:rPr>
        <w:t xml:space="preserve"> (2016, 2017), Journal of Controlled Release (2017, 2018), </w:t>
      </w:r>
      <w:proofErr w:type="spellStart"/>
      <w:r w:rsidR="00252590" w:rsidRPr="007A44B2">
        <w:rPr>
          <w:rFonts w:ascii="Times New Roman" w:eastAsiaTheme="minorEastAsia" w:hAnsi="Times New Roman" w:cs="Times New Roman"/>
          <w:color w:val="000000"/>
          <w:sz w:val="24"/>
          <w:szCs w:val="24"/>
        </w:rPr>
        <w:t>Oncogene</w:t>
      </w:r>
      <w:proofErr w:type="spellEnd"/>
      <w:r w:rsidR="00252590" w:rsidRPr="007A44B2">
        <w:rPr>
          <w:rFonts w:ascii="Times New Roman" w:eastAsiaTheme="minorEastAsia" w:hAnsi="Times New Roman" w:cs="Times New Roman"/>
          <w:color w:val="000000"/>
          <w:sz w:val="24"/>
          <w:szCs w:val="24"/>
        </w:rPr>
        <w:t xml:space="preserve"> (2018, 2018), </w:t>
      </w:r>
      <w:proofErr w:type="spellStart"/>
      <w:r w:rsidR="00252590" w:rsidRPr="007A44B2">
        <w:rPr>
          <w:rFonts w:ascii="Times New Roman" w:eastAsiaTheme="minorEastAsia" w:hAnsi="Times New Roman" w:cs="Times New Roman"/>
          <w:color w:val="000000"/>
          <w:sz w:val="24"/>
          <w:szCs w:val="24"/>
        </w:rPr>
        <w:t>Nanomed-Nanotechnol</w:t>
      </w:r>
      <w:proofErr w:type="spellEnd"/>
      <w:r w:rsidR="00252590" w:rsidRPr="007A44B2">
        <w:rPr>
          <w:rFonts w:ascii="Times New Roman" w:eastAsiaTheme="minorEastAsia" w:hAnsi="Times New Roman" w:cs="Times New Roman"/>
          <w:color w:val="000000"/>
          <w:sz w:val="24"/>
          <w:szCs w:val="24"/>
        </w:rPr>
        <w:t xml:space="preserve"> (2018, 2018), Free </w:t>
      </w:r>
      <w:proofErr w:type="spellStart"/>
      <w:r w:rsidR="00252590" w:rsidRPr="007A44B2">
        <w:rPr>
          <w:rFonts w:ascii="Times New Roman" w:eastAsiaTheme="minorEastAsia" w:hAnsi="Times New Roman" w:cs="Times New Roman"/>
          <w:color w:val="000000"/>
          <w:sz w:val="24"/>
          <w:szCs w:val="24"/>
        </w:rPr>
        <w:t>Radic</w:t>
      </w:r>
      <w:proofErr w:type="spellEnd"/>
      <w:r w:rsidR="00252590" w:rsidRPr="007A44B2">
        <w:rPr>
          <w:rFonts w:ascii="Times New Roman" w:eastAsiaTheme="minorEastAsia" w:hAnsi="Times New Roman" w:cs="Times New Roman"/>
          <w:color w:val="000000"/>
          <w:sz w:val="24"/>
          <w:szCs w:val="24"/>
        </w:rPr>
        <w:t xml:space="preserve"> </w:t>
      </w:r>
      <w:proofErr w:type="spellStart"/>
      <w:r w:rsidR="00252590" w:rsidRPr="007A44B2">
        <w:rPr>
          <w:rFonts w:ascii="Times New Roman" w:eastAsiaTheme="minorEastAsia" w:hAnsi="Times New Roman" w:cs="Times New Roman"/>
          <w:color w:val="000000"/>
          <w:sz w:val="24"/>
          <w:szCs w:val="24"/>
        </w:rPr>
        <w:t>Biol</w:t>
      </w:r>
      <w:proofErr w:type="spellEnd"/>
      <w:r w:rsidR="00252590" w:rsidRPr="007A44B2">
        <w:rPr>
          <w:rFonts w:ascii="Times New Roman" w:eastAsiaTheme="minorEastAsia" w:hAnsi="Times New Roman" w:cs="Times New Roman"/>
          <w:color w:val="000000"/>
          <w:sz w:val="24"/>
          <w:szCs w:val="24"/>
        </w:rPr>
        <w:t xml:space="preserve"> Med. (2017), Cell Mol </w:t>
      </w:r>
      <w:proofErr w:type="spellStart"/>
      <w:r w:rsidR="00252590" w:rsidRPr="007A44B2">
        <w:rPr>
          <w:rFonts w:ascii="Times New Roman" w:eastAsiaTheme="minorEastAsia" w:hAnsi="Times New Roman" w:cs="Times New Roman"/>
          <w:color w:val="000000"/>
          <w:sz w:val="24"/>
          <w:szCs w:val="24"/>
        </w:rPr>
        <w:t>Neurobiol</w:t>
      </w:r>
      <w:proofErr w:type="spellEnd"/>
      <w:r w:rsidR="00252590" w:rsidRPr="007A44B2">
        <w:rPr>
          <w:rFonts w:ascii="Times New Roman" w:eastAsiaTheme="minorEastAsia" w:hAnsi="Times New Roman" w:cs="Times New Roman"/>
          <w:color w:val="000000"/>
          <w:sz w:val="24"/>
          <w:szCs w:val="24"/>
        </w:rPr>
        <w:t xml:space="preserve"> (2013), Biomedical Optics Express (2014), Journal of </w:t>
      </w:r>
      <w:proofErr w:type="spellStart"/>
      <w:r w:rsidR="00252590" w:rsidRPr="007A44B2">
        <w:rPr>
          <w:rFonts w:ascii="Times New Roman" w:eastAsiaTheme="minorEastAsia" w:hAnsi="Times New Roman" w:cs="Times New Roman"/>
          <w:color w:val="000000"/>
          <w:sz w:val="24"/>
          <w:szCs w:val="24"/>
        </w:rPr>
        <w:t>Ethnopharmacology</w:t>
      </w:r>
      <w:proofErr w:type="spellEnd"/>
      <w:r w:rsidR="00252590" w:rsidRPr="007A44B2">
        <w:rPr>
          <w:rFonts w:ascii="Times New Roman" w:eastAsiaTheme="minorEastAsia" w:hAnsi="Times New Roman" w:cs="Times New Roman"/>
          <w:color w:val="000000"/>
          <w:sz w:val="24"/>
          <w:szCs w:val="24"/>
        </w:rPr>
        <w:t xml:space="preserve"> (2014), Toxicology (2015), Journal of Biomedical Optics (2013)</w:t>
      </w:r>
      <w:r w:rsidR="00252590" w:rsidRPr="007A44B2">
        <w:rPr>
          <w:rFonts w:ascii="Times New Roman" w:eastAsiaTheme="minorEastAsia" w:hAnsiTheme="minorEastAsia" w:cs="Times New Roman"/>
          <w:color w:val="000000"/>
          <w:sz w:val="24"/>
          <w:szCs w:val="24"/>
        </w:rPr>
        <w:t>等发表多篇论文。</w:t>
      </w:r>
      <w:r w:rsidR="004E3ACB">
        <w:rPr>
          <w:rFonts w:ascii="Times New Roman" w:eastAsiaTheme="minorEastAsia" w:hAnsiTheme="minorEastAsia" w:cs="Times New Roman"/>
          <w:color w:val="000000"/>
          <w:sz w:val="24"/>
          <w:szCs w:val="24"/>
        </w:rPr>
        <w:t>也在其他与药学相关的期刊上发表多篇高水平论文</w:t>
      </w:r>
      <w:r w:rsidR="004E3ACB">
        <w:rPr>
          <w:rFonts w:ascii="Times New Roman" w:eastAsiaTheme="minorEastAsia" w:hAnsiTheme="minorEastAsia" w:cs="Times New Roman" w:hint="eastAsia"/>
          <w:color w:val="000000"/>
          <w:sz w:val="24"/>
          <w:szCs w:val="24"/>
        </w:rPr>
        <w:t>。</w:t>
      </w:r>
    </w:p>
    <w:p w:rsidR="00CF554B" w:rsidRPr="007A44B2" w:rsidRDefault="00CF554B" w:rsidP="008D181D">
      <w:pPr>
        <w:spacing w:line="360" w:lineRule="auto"/>
        <w:ind w:firstLineChars="200" w:firstLine="480"/>
        <w:jc w:val="both"/>
        <w:rPr>
          <w:rFonts w:ascii="Times New Roman" w:eastAsiaTheme="minorEastAsia" w:hAnsi="Times New Roman" w:cs="Times New Roman"/>
          <w:color w:val="000000"/>
          <w:sz w:val="24"/>
          <w:szCs w:val="24"/>
        </w:rPr>
      </w:pPr>
      <w:r w:rsidRPr="007A44B2">
        <w:rPr>
          <w:rFonts w:ascii="Times New Roman" w:eastAsiaTheme="minorEastAsia" w:hAnsiTheme="minorEastAsia" w:cs="Times New Roman"/>
          <w:color w:val="000000"/>
          <w:sz w:val="24"/>
          <w:szCs w:val="24"/>
        </w:rPr>
        <w:t>本学位点近</w:t>
      </w:r>
      <w:r w:rsidRPr="007A44B2">
        <w:rPr>
          <w:rFonts w:ascii="Times New Roman" w:eastAsiaTheme="minorEastAsia" w:hAnsi="Times New Roman" w:cs="Times New Roman"/>
          <w:color w:val="000000"/>
          <w:sz w:val="24"/>
          <w:szCs w:val="24"/>
        </w:rPr>
        <w:t>5</w:t>
      </w:r>
      <w:r w:rsidRPr="007A44B2">
        <w:rPr>
          <w:rFonts w:ascii="Times New Roman" w:eastAsiaTheme="minorEastAsia" w:hAnsiTheme="minorEastAsia" w:cs="Times New Roman"/>
          <w:color w:val="000000"/>
          <w:sz w:val="24"/>
          <w:szCs w:val="24"/>
        </w:rPr>
        <w:t>年承担国家自然科学基金等国家级科研项目</w:t>
      </w:r>
      <w:r w:rsidRPr="007A44B2">
        <w:rPr>
          <w:rFonts w:ascii="Times New Roman" w:eastAsiaTheme="minorEastAsia" w:hAnsi="Times New Roman" w:cs="Times New Roman"/>
          <w:color w:val="000000"/>
          <w:sz w:val="24"/>
          <w:szCs w:val="24"/>
        </w:rPr>
        <w:t>18</w:t>
      </w:r>
      <w:r w:rsidRPr="007A44B2">
        <w:rPr>
          <w:rFonts w:ascii="Times New Roman" w:eastAsiaTheme="minorEastAsia" w:hAnsiTheme="minorEastAsia" w:cs="Times New Roman"/>
          <w:color w:val="000000"/>
          <w:sz w:val="24"/>
          <w:szCs w:val="24"/>
        </w:rPr>
        <w:t>项，省部级科研项目</w:t>
      </w:r>
      <w:r w:rsidRPr="007A44B2">
        <w:rPr>
          <w:rFonts w:ascii="Times New Roman" w:eastAsiaTheme="minorEastAsia" w:hAnsi="Times New Roman" w:cs="Times New Roman"/>
          <w:color w:val="000000"/>
          <w:sz w:val="24"/>
          <w:szCs w:val="24"/>
        </w:rPr>
        <w:t>18</w:t>
      </w:r>
      <w:r w:rsidRPr="007A44B2">
        <w:rPr>
          <w:rFonts w:ascii="Times New Roman" w:eastAsiaTheme="minorEastAsia" w:hAnsiTheme="minorEastAsia" w:cs="Times New Roman"/>
          <w:color w:val="000000"/>
          <w:sz w:val="24"/>
          <w:szCs w:val="24"/>
        </w:rPr>
        <w:t>项，以及其它纵向科研项目共计</w:t>
      </w:r>
      <w:r w:rsidRPr="007A44B2">
        <w:rPr>
          <w:rFonts w:ascii="Times New Roman" w:eastAsiaTheme="minorEastAsia" w:hAnsi="Times New Roman" w:cs="Times New Roman"/>
          <w:color w:val="000000"/>
          <w:sz w:val="24"/>
          <w:szCs w:val="24"/>
        </w:rPr>
        <w:t>36</w:t>
      </w:r>
      <w:r w:rsidRPr="007A44B2">
        <w:rPr>
          <w:rFonts w:ascii="Times New Roman" w:eastAsiaTheme="minorEastAsia" w:hAnsiTheme="minorEastAsia" w:cs="Times New Roman"/>
          <w:color w:val="000000"/>
          <w:sz w:val="24"/>
          <w:szCs w:val="24"/>
        </w:rPr>
        <w:t>项，合计获得科研经费</w:t>
      </w:r>
      <w:r w:rsidRPr="007A44B2">
        <w:rPr>
          <w:rFonts w:ascii="Times New Roman" w:eastAsiaTheme="minorEastAsia" w:hAnsi="Times New Roman" w:cs="Times New Roman"/>
          <w:color w:val="000000"/>
          <w:sz w:val="24"/>
          <w:szCs w:val="24"/>
        </w:rPr>
        <w:t>2553.6</w:t>
      </w:r>
      <w:r w:rsidRPr="007A44B2">
        <w:rPr>
          <w:rFonts w:ascii="Times New Roman" w:eastAsiaTheme="minorEastAsia" w:hAnsiTheme="minorEastAsia" w:cs="Times New Roman"/>
          <w:color w:val="000000"/>
          <w:sz w:val="24"/>
          <w:szCs w:val="24"/>
        </w:rPr>
        <w:t>余万元，教学和科研设备固定资产超过</w:t>
      </w:r>
      <w:r w:rsidRPr="007A44B2">
        <w:rPr>
          <w:rFonts w:ascii="Times New Roman" w:eastAsiaTheme="minorEastAsia" w:hAnsi="Times New Roman" w:cs="Times New Roman"/>
          <w:color w:val="000000"/>
          <w:sz w:val="24"/>
          <w:szCs w:val="24"/>
        </w:rPr>
        <w:t>10300</w:t>
      </w:r>
      <w:r w:rsidR="00E9742A">
        <w:rPr>
          <w:rFonts w:ascii="Times New Roman" w:eastAsiaTheme="minorEastAsia" w:hAnsiTheme="minorEastAsia" w:cs="Times New Roman"/>
          <w:color w:val="000000"/>
          <w:sz w:val="24"/>
          <w:szCs w:val="24"/>
        </w:rPr>
        <w:t>万元，能满足硕、博士研究生培养需要。已建设有激光生命科学教育</w:t>
      </w:r>
      <w:r w:rsidRPr="007A44B2">
        <w:rPr>
          <w:rFonts w:ascii="Times New Roman" w:eastAsiaTheme="minorEastAsia" w:hAnsiTheme="minorEastAsia" w:cs="Times New Roman"/>
          <w:color w:val="000000"/>
          <w:sz w:val="24"/>
          <w:szCs w:val="24"/>
        </w:rPr>
        <w:t>部重点实验室，有较充足的国内外图书资料。有健全的研究生培养制度及管理机构，华南师范大学有完善的研究生奖助体系，并基本实现全覆盖。此外，</w:t>
      </w:r>
      <w:r w:rsidR="009F2138">
        <w:rPr>
          <w:rFonts w:ascii="Times New Roman" w:eastAsiaTheme="minorEastAsia" w:hAnsiTheme="minorEastAsia" w:cs="Times New Roman"/>
          <w:color w:val="000000"/>
          <w:sz w:val="24"/>
          <w:szCs w:val="24"/>
        </w:rPr>
        <w:t>新建华南师范大学</w:t>
      </w:r>
      <w:r w:rsidR="009F2138">
        <w:rPr>
          <w:rFonts w:ascii="Times New Roman" w:eastAsiaTheme="minorEastAsia" w:hAnsiTheme="minorEastAsia" w:cs="Times New Roman" w:hint="eastAsia"/>
          <w:color w:val="000000"/>
          <w:sz w:val="24"/>
          <w:szCs w:val="24"/>
        </w:rPr>
        <w:t>-</w:t>
      </w:r>
      <w:r w:rsidR="009F2138">
        <w:rPr>
          <w:rFonts w:ascii="Times New Roman" w:eastAsiaTheme="minorEastAsia" w:hAnsiTheme="minorEastAsia" w:cs="Times New Roman"/>
          <w:color w:val="000000"/>
          <w:sz w:val="24"/>
          <w:szCs w:val="24"/>
        </w:rPr>
        <w:t>番禺中心医院联合实验室</w:t>
      </w:r>
      <w:r w:rsidR="009F2138">
        <w:rPr>
          <w:rFonts w:ascii="Times New Roman" w:eastAsiaTheme="minorEastAsia" w:hAnsiTheme="minorEastAsia" w:cs="Times New Roman" w:hint="eastAsia"/>
          <w:color w:val="000000"/>
          <w:sz w:val="24"/>
          <w:szCs w:val="24"/>
        </w:rPr>
        <w:t>，</w:t>
      </w:r>
      <w:r w:rsidRPr="007A44B2">
        <w:rPr>
          <w:rFonts w:ascii="Times New Roman" w:eastAsiaTheme="minorEastAsia" w:hAnsiTheme="minorEastAsia" w:cs="Times New Roman"/>
          <w:color w:val="000000"/>
          <w:sz w:val="24"/>
          <w:szCs w:val="24"/>
        </w:rPr>
        <w:t>还有</w:t>
      </w:r>
      <w:r w:rsidRPr="007A44B2">
        <w:rPr>
          <w:rFonts w:ascii="Times New Roman" w:eastAsiaTheme="minorEastAsia" w:hAnsi="Times New Roman" w:cs="Times New Roman"/>
          <w:color w:val="000000"/>
          <w:sz w:val="24"/>
          <w:szCs w:val="24"/>
        </w:rPr>
        <w:t>7</w:t>
      </w:r>
      <w:r w:rsidRPr="007A44B2">
        <w:rPr>
          <w:rFonts w:ascii="Times New Roman" w:eastAsiaTheme="minorEastAsia" w:hAnsiTheme="minorEastAsia" w:cs="Times New Roman"/>
          <w:color w:val="000000"/>
          <w:sz w:val="24"/>
          <w:szCs w:val="24"/>
        </w:rPr>
        <w:t>个省部级和市级重点实验室的公共实验平台等。这些校</w:t>
      </w:r>
      <w:r w:rsidR="00873816">
        <w:rPr>
          <w:rFonts w:ascii="Times New Roman" w:eastAsiaTheme="minorEastAsia" w:hAnsiTheme="minorEastAsia" w:cs="Times New Roman"/>
          <w:color w:val="000000"/>
          <w:sz w:val="24"/>
          <w:szCs w:val="24"/>
        </w:rPr>
        <w:t>外</w:t>
      </w:r>
      <w:r w:rsidR="00873816">
        <w:rPr>
          <w:rFonts w:ascii="Times New Roman" w:eastAsiaTheme="minorEastAsia" w:hAnsiTheme="minorEastAsia" w:cs="Times New Roman" w:hint="eastAsia"/>
          <w:color w:val="000000"/>
          <w:sz w:val="24"/>
          <w:szCs w:val="24"/>
        </w:rPr>
        <w:t>、</w:t>
      </w:r>
      <w:r w:rsidR="00873816">
        <w:rPr>
          <w:rFonts w:ascii="Times New Roman" w:eastAsiaTheme="minorEastAsia" w:hAnsiTheme="minorEastAsia" w:cs="Times New Roman"/>
          <w:color w:val="000000"/>
          <w:sz w:val="24"/>
          <w:szCs w:val="24"/>
        </w:rPr>
        <w:t>校</w:t>
      </w:r>
      <w:r w:rsidRPr="007A44B2">
        <w:rPr>
          <w:rFonts w:ascii="Times New Roman" w:eastAsiaTheme="minorEastAsia" w:hAnsiTheme="minorEastAsia" w:cs="Times New Roman"/>
          <w:color w:val="000000"/>
          <w:sz w:val="24"/>
          <w:szCs w:val="24"/>
        </w:rPr>
        <w:t>内</w:t>
      </w:r>
      <w:r w:rsidR="00873816">
        <w:rPr>
          <w:rFonts w:ascii="Times New Roman" w:eastAsiaTheme="minorEastAsia" w:hAnsiTheme="minorEastAsia" w:cs="Times New Roman"/>
          <w:color w:val="000000"/>
          <w:sz w:val="24"/>
          <w:szCs w:val="24"/>
        </w:rPr>
        <w:t>和</w:t>
      </w:r>
      <w:r w:rsidRPr="007A44B2">
        <w:rPr>
          <w:rFonts w:ascii="Times New Roman" w:eastAsiaTheme="minorEastAsia" w:hAnsiTheme="minorEastAsia" w:cs="Times New Roman"/>
          <w:color w:val="000000"/>
          <w:sz w:val="24"/>
          <w:szCs w:val="24"/>
        </w:rPr>
        <w:t>院内的公共实验平台和研究设施支撑本学位点教学科研人员和研究生。本学位点与多家医药公司建立了长期的合作关系，开展应用研究和产品开发，为培养高级应用技术人才奠定了良好的基础。</w:t>
      </w:r>
    </w:p>
    <w:p w:rsidR="00A701A7" w:rsidRPr="00DF52CB" w:rsidRDefault="00A701A7" w:rsidP="008D181D">
      <w:pPr>
        <w:spacing w:line="450" w:lineRule="exact"/>
        <w:ind w:firstLineChars="200" w:firstLine="480"/>
        <w:jc w:val="both"/>
        <w:rPr>
          <w:rFonts w:eastAsia="仿宋"/>
          <w:sz w:val="24"/>
          <w:szCs w:val="24"/>
        </w:rPr>
      </w:pPr>
      <w:r w:rsidRPr="007A44B2">
        <w:rPr>
          <w:rFonts w:ascii="Times New Roman" w:eastAsiaTheme="minorEastAsia" w:hAnsiTheme="minorEastAsia" w:cs="Times New Roman"/>
          <w:color w:val="000000"/>
          <w:sz w:val="24"/>
          <w:szCs w:val="24"/>
        </w:rPr>
        <w:lastRenderedPageBreak/>
        <w:t>本学位点现有专职教学和科研人员</w:t>
      </w:r>
      <w:r w:rsidRPr="007A44B2">
        <w:rPr>
          <w:rFonts w:ascii="Times New Roman" w:eastAsiaTheme="minorEastAsia" w:hAnsi="Times New Roman" w:cs="Times New Roman"/>
          <w:color w:val="000000"/>
          <w:sz w:val="24"/>
          <w:szCs w:val="24"/>
        </w:rPr>
        <w:t>38</w:t>
      </w:r>
      <w:r w:rsidRPr="007A44B2">
        <w:rPr>
          <w:rFonts w:ascii="Times New Roman" w:eastAsiaTheme="minorEastAsia" w:hAnsiTheme="minorEastAsia" w:cs="Times New Roman"/>
          <w:color w:val="000000"/>
          <w:sz w:val="24"/>
          <w:szCs w:val="24"/>
        </w:rPr>
        <w:t>人。其中，具有博士学位者</w:t>
      </w:r>
      <w:r w:rsidRPr="007A44B2">
        <w:rPr>
          <w:rFonts w:ascii="Times New Roman" w:eastAsiaTheme="minorEastAsia" w:hAnsi="Times New Roman" w:cs="Times New Roman"/>
          <w:color w:val="000000"/>
          <w:sz w:val="24"/>
          <w:szCs w:val="24"/>
        </w:rPr>
        <w:t>38</w:t>
      </w:r>
      <w:r w:rsidRPr="007A44B2">
        <w:rPr>
          <w:rFonts w:ascii="Times New Roman" w:eastAsiaTheme="minorEastAsia" w:hAnsiTheme="minorEastAsia" w:cs="Times New Roman"/>
          <w:color w:val="000000"/>
          <w:sz w:val="24"/>
          <w:szCs w:val="24"/>
        </w:rPr>
        <w:t>人，占总人数的</w:t>
      </w:r>
      <w:r w:rsidRPr="007A44B2">
        <w:rPr>
          <w:rFonts w:ascii="Times New Roman" w:eastAsiaTheme="minorEastAsia" w:hAnsi="Times New Roman" w:cs="Times New Roman"/>
          <w:color w:val="000000"/>
          <w:sz w:val="24"/>
          <w:szCs w:val="24"/>
        </w:rPr>
        <w:t>100%</w:t>
      </w:r>
      <w:r w:rsidRPr="007A44B2">
        <w:rPr>
          <w:rFonts w:ascii="Times New Roman" w:eastAsiaTheme="minorEastAsia" w:hAnsiTheme="minorEastAsia" w:cs="Times New Roman"/>
          <w:color w:val="000000"/>
          <w:sz w:val="24"/>
          <w:szCs w:val="24"/>
        </w:rPr>
        <w:t>。教授</w:t>
      </w:r>
      <w:r w:rsidRPr="007A44B2">
        <w:rPr>
          <w:rFonts w:ascii="Times New Roman" w:eastAsiaTheme="minorEastAsia" w:hAnsi="Times New Roman" w:cs="Times New Roman"/>
          <w:color w:val="000000"/>
          <w:sz w:val="24"/>
          <w:szCs w:val="24"/>
        </w:rPr>
        <w:t>21</w:t>
      </w:r>
      <w:r w:rsidRPr="007A44B2">
        <w:rPr>
          <w:rFonts w:ascii="Times New Roman" w:eastAsiaTheme="minorEastAsia" w:hAnsiTheme="minorEastAsia" w:cs="Times New Roman"/>
          <w:color w:val="000000"/>
          <w:sz w:val="24"/>
          <w:szCs w:val="24"/>
        </w:rPr>
        <w:t>人、副教授</w:t>
      </w:r>
      <w:r w:rsidRPr="007A44B2">
        <w:rPr>
          <w:rFonts w:ascii="Times New Roman" w:eastAsiaTheme="minorEastAsia" w:hAnsi="Times New Roman" w:cs="Times New Roman"/>
          <w:color w:val="000000"/>
          <w:sz w:val="24"/>
          <w:szCs w:val="24"/>
        </w:rPr>
        <w:t>12</w:t>
      </w:r>
      <w:r w:rsidRPr="007A44B2">
        <w:rPr>
          <w:rFonts w:ascii="Times New Roman" w:eastAsiaTheme="minorEastAsia" w:hAnsiTheme="minorEastAsia" w:cs="Times New Roman"/>
          <w:color w:val="000000"/>
          <w:sz w:val="24"/>
          <w:szCs w:val="24"/>
        </w:rPr>
        <w:t>人，讲师</w:t>
      </w:r>
      <w:r w:rsidRPr="007A44B2">
        <w:rPr>
          <w:rFonts w:ascii="Times New Roman" w:eastAsiaTheme="minorEastAsia" w:hAnsi="Times New Roman" w:cs="Times New Roman"/>
          <w:color w:val="000000"/>
          <w:sz w:val="24"/>
          <w:szCs w:val="24"/>
        </w:rPr>
        <w:t>5</w:t>
      </w:r>
      <w:r w:rsidRPr="007A44B2">
        <w:rPr>
          <w:rFonts w:ascii="Times New Roman" w:eastAsiaTheme="minorEastAsia" w:hAnsiTheme="minorEastAsia" w:cs="Times New Roman"/>
          <w:color w:val="000000"/>
          <w:sz w:val="24"/>
          <w:szCs w:val="24"/>
        </w:rPr>
        <w:t>人，高级职称人员占</w:t>
      </w:r>
      <w:r w:rsidRPr="007A44B2">
        <w:rPr>
          <w:rFonts w:ascii="Times New Roman" w:eastAsiaTheme="minorEastAsia" w:hAnsi="Times New Roman" w:cs="Times New Roman"/>
          <w:sz w:val="24"/>
          <w:szCs w:val="24"/>
        </w:rPr>
        <w:t>86.84</w:t>
      </w:r>
      <w:r w:rsidRPr="007A44B2">
        <w:rPr>
          <w:rFonts w:ascii="Times New Roman" w:eastAsiaTheme="minorEastAsia" w:hAnsi="Times New Roman" w:cs="Times New Roman"/>
          <w:color w:val="000000"/>
          <w:sz w:val="24"/>
          <w:szCs w:val="24"/>
        </w:rPr>
        <w:t>%</w:t>
      </w:r>
      <w:r w:rsidRPr="007A44B2">
        <w:rPr>
          <w:rFonts w:ascii="Times New Roman" w:eastAsiaTheme="minorEastAsia" w:hAnsiTheme="minorEastAsia" w:cs="Times New Roman"/>
          <w:color w:val="000000"/>
          <w:sz w:val="24"/>
          <w:szCs w:val="24"/>
        </w:rPr>
        <w:t>，包括关燕清（珠江学者</w:t>
      </w:r>
      <w:r w:rsidR="00463D95" w:rsidRPr="007A44B2">
        <w:rPr>
          <w:rFonts w:ascii="Times New Roman" w:eastAsiaTheme="minorEastAsia" w:hAnsiTheme="minorEastAsia" w:cs="Times New Roman"/>
          <w:color w:val="000000"/>
          <w:sz w:val="24"/>
          <w:szCs w:val="24"/>
        </w:rPr>
        <w:t>、</w:t>
      </w:r>
      <w:r w:rsidR="00463D95" w:rsidRPr="007A44B2">
        <w:rPr>
          <w:rFonts w:ascii="Times New Roman" w:eastAsiaTheme="minorEastAsia" w:hAnsiTheme="minorEastAsia" w:cs="Times New Roman"/>
          <w:color w:val="262626"/>
          <w:sz w:val="24"/>
          <w:szCs w:val="24"/>
          <w:shd w:val="clear" w:color="auto" w:fill="FFFFFF"/>
        </w:rPr>
        <w:t>广东省药学教学指导委员会委员</w:t>
      </w:r>
      <w:r w:rsidRPr="007A44B2">
        <w:rPr>
          <w:rFonts w:ascii="Times New Roman" w:eastAsiaTheme="minorEastAsia" w:hAnsiTheme="minorEastAsia" w:cs="Times New Roman"/>
          <w:color w:val="000000"/>
          <w:sz w:val="24"/>
          <w:szCs w:val="24"/>
        </w:rPr>
        <w:t>）、</w:t>
      </w:r>
      <w:r w:rsidR="005C0DDA" w:rsidRPr="007A44B2">
        <w:rPr>
          <w:rFonts w:ascii="Times New Roman" w:eastAsiaTheme="minorEastAsia" w:hAnsiTheme="minorEastAsia" w:cs="Times New Roman"/>
          <w:color w:val="000000"/>
          <w:sz w:val="24"/>
          <w:szCs w:val="24"/>
        </w:rPr>
        <w:t>周小明（广东省杰青、广东省特支计划）、</w:t>
      </w:r>
      <w:r w:rsidR="00F71D83" w:rsidRPr="007A44B2">
        <w:rPr>
          <w:rFonts w:ascii="Times New Roman" w:eastAsiaTheme="minorEastAsia" w:hAnsiTheme="minorEastAsia" w:cs="Times New Roman"/>
          <w:color w:val="000000"/>
          <w:sz w:val="24"/>
          <w:szCs w:val="24"/>
        </w:rPr>
        <w:t>黄儒强（广东省毒理学会常务理事、广东省保健食品注册审评专家、</w:t>
      </w:r>
      <w:r w:rsidR="00F71D83" w:rsidRPr="007A44B2">
        <w:rPr>
          <w:rFonts w:ascii="Times New Roman" w:eastAsiaTheme="minorEastAsia" w:hAnsi="Times New Roman" w:cs="Times New Roman"/>
          <w:color w:val="000000"/>
          <w:sz w:val="24"/>
          <w:szCs w:val="24"/>
        </w:rPr>
        <w:t>GMP</w:t>
      </w:r>
      <w:r w:rsidR="00F71D83" w:rsidRPr="007A44B2">
        <w:rPr>
          <w:rFonts w:ascii="Times New Roman" w:eastAsiaTheme="minorEastAsia" w:hAnsiTheme="minorEastAsia" w:cs="Times New Roman"/>
          <w:color w:val="000000"/>
          <w:sz w:val="24"/>
          <w:szCs w:val="24"/>
        </w:rPr>
        <w:t>专家）、</w:t>
      </w:r>
      <w:r w:rsidR="002B32E4" w:rsidRPr="007A44B2">
        <w:rPr>
          <w:rFonts w:ascii="Times New Roman" w:eastAsiaTheme="minorEastAsia" w:hAnsiTheme="minorEastAsia" w:cs="Times New Roman"/>
          <w:color w:val="000000"/>
          <w:sz w:val="24"/>
          <w:szCs w:val="24"/>
        </w:rPr>
        <w:t>章伟光（广东省药学会理事，广东省药品注册审评专家）、</w:t>
      </w:r>
      <w:r w:rsidRPr="007A44B2">
        <w:rPr>
          <w:rFonts w:ascii="Times New Roman" w:eastAsiaTheme="minorEastAsia" w:hAnsiTheme="minorEastAsia" w:cs="Times New Roman"/>
          <w:color w:val="000000"/>
          <w:sz w:val="24"/>
          <w:szCs w:val="24"/>
        </w:rPr>
        <w:t>胡祥龙（广东省杰青、广东省特支青年拔尖）、张涛（广东省特支计划</w:t>
      </w:r>
      <w:r w:rsidRPr="007A44B2">
        <w:rPr>
          <w:rFonts w:ascii="Times New Roman" w:eastAsiaTheme="minorEastAsia" w:hAnsi="Times New Roman" w:cs="Times New Roman"/>
          <w:color w:val="000000"/>
          <w:sz w:val="24"/>
          <w:szCs w:val="24"/>
        </w:rPr>
        <w:t>-</w:t>
      </w:r>
      <w:r w:rsidR="00F71D83" w:rsidRPr="007A44B2">
        <w:rPr>
          <w:rFonts w:ascii="Times New Roman" w:eastAsiaTheme="minorEastAsia" w:hAnsiTheme="minorEastAsia" w:cs="Times New Roman"/>
          <w:color w:val="000000"/>
          <w:sz w:val="24"/>
          <w:szCs w:val="24"/>
        </w:rPr>
        <w:t>青年拔尖人才）</w:t>
      </w:r>
      <w:r w:rsidRPr="007A44B2">
        <w:rPr>
          <w:rFonts w:ascii="Times New Roman" w:eastAsiaTheme="minorEastAsia" w:hAnsiTheme="minorEastAsia" w:cs="Times New Roman"/>
          <w:color w:val="000000"/>
          <w:sz w:val="24"/>
          <w:szCs w:val="24"/>
        </w:rPr>
        <w:t>等，其中，</w:t>
      </w:r>
      <w:r w:rsidRPr="007A44B2">
        <w:rPr>
          <w:rFonts w:ascii="Times New Roman" w:eastAsiaTheme="minorEastAsia" w:hAnsi="Times New Roman" w:cs="Times New Roman"/>
          <w:color w:val="000000"/>
          <w:sz w:val="24"/>
          <w:szCs w:val="24"/>
        </w:rPr>
        <w:t>50</w:t>
      </w:r>
      <w:r w:rsidRPr="007A44B2">
        <w:rPr>
          <w:rFonts w:ascii="Times New Roman" w:eastAsiaTheme="minorEastAsia" w:hAnsiTheme="minorEastAsia" w:cs="Times New Roman"/>
          <w:color w:val="000000"/>
          <w:sz w:val="24"/>
          <w:szCs w:val="24"/>
        </w:rPr>
        <w:t>岁以上者</w:t>
      </w:r>
      <w:r w:rsidRPr="007A44B2">
        <w:rPr>
          <w:rFonts w:ascii="Times New Roman" w:eastAsiaTheme="minorEastAsia" w:hAnsi="Times New Roman" w:cs="Times New Roman"/>
          <w:color w:val="000000"/>
          <w:sz w:val="24"/>
          <w:szCs w:val="24"/>
        </w:rPr>
        <w:t>7</w:t>
      </w:r>
      <w:r w:rsidRPr="007A44B2">
        <w:rPr>
          <w:rFonts w:ascii="Times New Roman" w:eastAsiaTheme="minorEastAsia" w:hAnsiTheme="minorEastAsia" w:cs="Times New Roman"/>
          <w:color w:val="000000"/>
          <w:sz w:val="24"/>
          <w:szCs w:val="24"/>
        </w:rPr>
        <w:t>人，</w:t>
      </w:r>
      <w:r w:rsidRPr="007A44B2">
        <w:rPr>
          <w:rFonts w:ascii="Times New Roman" w:eastAsiaTheme="minorEastAsia" w:hAnsi="Times New Roman" w:cs="Times New Roman"/>
          <w:color w:val="000000"/>
          <w:sz w:val="24"/>
          <w:szCs w:val="24"/>
        </w:rPr>
        <w:t>40-50</w:t>
      </w:r>
      <w:r w:rsidRPr="007A44B2">
        <w:rPr>
          <w:rFonts w:ascii="Times New Roman" w:eastAsiaTheme="minorEastAsia" w:hAnsiTheme="minorEastAsia" w:cs="Times New Roman"/>
          <w:color w:val="000000"/>
          <w:sz w:val="24"/>
          <w:szCs w:val="24"/>
        </w:rPr>
        <w:t>岁的</w:t>
      </w:r>
      <w:r w:rsidRPr="007A44B2">
        <w:rPr>
          <w:rFonts w:ascii="Times New Roman" w:eastAsiaTheme="minorEastAsia" w:hAnsi="Times New Roman" w:cs="Times New Roman"/>
          <w:color w:val="000000"/>
          <w:sz w:val="24"/>
          <w:szCs w:val="24"/>
        </w:rPr>
        <w:t>14</w:t>
      </w:r>
      <w:r w:rsidRPr="007A44B2">
        <w:rPr>
          <w:rFonts w:ascii="Times New Roman" w:eastAsiaTheme="minorEastAsia" w:hAnsiTheme="minorEastAsia" w:cs="Times New Roman"/>
          <w:color w:val="000000"/>
          <w:sz w:val="24"/>
          <w:szCs w:val="24"/>
        </w:rPr>
        <w:t>人，</w:t>
      </w:r>
      <w:r w:rsidRPr="007A44B2">
        <w:rPr>
          <w:rFonts w:ascii="Times New Roman" w:eastAsiaTheme="minorEastAsia" w:hAnsi="Times New Roman" w:cs="Times New Roman"/>
          <w:color w:val="000000"/>
          <w:sz w:val="24"/>
          <w:szCs w:val="24"/>
        </w:rPr>
        <w:t>40</w:t>
      </w:r>
      <w:r w:rsidRPr="007A44B2">
        <w:rPr>
          <w:rFonts w:ascii="Times New Roman" w:eastAsiaTheme="minorEastAsia" w:hAnsiTheme="minorEastAsia" w:cs="Times New Roman"/>
          <w:color w:val="000000"/>
          <w:sz w:val="24"/>
          <w:szCs w:val="24"/>
        </w:rPr>
        <w:t>以下者</w:t>
      </w:r>
      <w:r w:rsidRPr="00DF52CB">
        <w:rPr>
          <w:rFonts w:ascii="Times New Roman" w:eastAsiaTheme="minorEastAsia" w:hAnsiTheme="minorEastAsia" w:cs="Times New Roman"/>
          <w:color w:val="000000"/>
          <w:sz w:val="24"/>
          <w:szCs w:val="24"/>
        </w:rPr>
        <w:t>17</w:t>
      </w:r>
      <w:r w:rsidRPr="007A44B2">
        <w:rPr>
          <w:rFonts w:ascii="Times New Roman" w:eastAsiaTheme="minorEastAsia" w:hAnsiTheme="minorEastAsia" w:cs="Times New Roman"/>
          <w:color w:val="000000"/>
          <w:sz w:val="24"/>
          <w:szCs w:val="24"/>
        </w:rPr>
        <w:t>人。教学和科研人员的平均年龄为</w:t>
      </w:r>
      <w:r w:rsidRPr="00DF52CB">
        <w:rPr>
          <w:rFonts w:ascii="Times New Roman" w:eastAsiaTheme="minorEastAsia" w:hAnsiTheme="minorEastAsia" w:cs="Times New Roman"/>
          <w:color w:val="000000"/>
          <w:sz w:val="24"/>
          <w:szCs w:val="24"/>
        </w:rPr>
        <w:t>40</w:t>
      </w:r>
      <w:r w:rsidRPr="007A44B2">
        <w:rPr>
          <w:rFonts w:ascii="Times New Roman" w:eastAsiaTheme="minorEastAsia" w:hAnsiTheme="minorEastAsia" w:cs="Times New Roman"/>
          <w:color w:val="000000"/>
          <w:sz w:val="24"/>
          <w:szCs w:val="24"/>
        </w:rPr>
        <w:t>岁，年龄层次较合理。</w:t>
      </w:r>
      <w:r w:rsidR="00DF52CB" w:rsidRPr="00DF52CB">
        <w:rPr>
          <w:rFonts w:ascii="Times New Roman" w:eastAsia="宋体" w:hAnsi="宋体" w:cs="Times New Roman"/>
          <w:color w:val="000000"/>
          <w:sz w:val="24"/>
          <w:szCs w:val="24"/>
        </w:rPr>
        <w:t>计划近三年招聘药学方向青年教师和博士后</w:t>
      </w:r>
      <w:r w:rsidR="00DF52CB" w:rsidRPr="00DF52CB">
        <w:rPr>
          <w:rFonts w:ascii="Times New Roman" w:eastAsia="宋体" w:hAnsi="宋体" w:cs="Times New Roman"/>
          <w:color w:val="000000"/>
          <w:sz w:val="24"/>
          <w:szCs w:val="24"/>
        </w:rPr>
        <w:t>5-10</w:t>
      </w:r>
      <w:r w:rsidR="00DF52CB" w:rsidRPr="00DF52CB">
        <w:rPr>
          <w:rFonts w:ascii="Times New Roman" w:eastAsia="宋体" w:hAnsi="宋体" w:cs="Times New Roman"/>
          <w:color w:val="000000"/>
          <w:sz w:val="24"/>
          <w:szCs w:val="24"/>
        </w:rPr>
        <w:t>名</w:t>
      </w:r>
      <w:r w:rsidR="00DF52CB" w:rsidRPr="00DF52CB">
        <w:rPr>
          <w:rFonts w:ascii="Times New Roman" w:eastAsia="宋体" w:hAnsi="宋体" w:cs="Times New Roman" w:hint="eastAsia"/>
          <w:color w:val="000000"/>
          <w:sz w:val="24"/>
          <w:szCs w:val="24"/>
        </w:rPr>
        <w:t>，</w:t>
      </w:r>
      <w:r w:rsidR="00DF52CB" w:rsidRPr="00DF52CB">
        <w:rPr>
          <w:rFonts w:ascii="Times New Roman" w:eastAsia="宋体" w:hAnsi="宋体" w:cs="Times New Roman"/>
          <w:color w:val="000000"/>
          <w:sz w:val="24"/>
          <w:szCs w:val="24"/>
        </w:rPr>
        <w:t>引进和培养</w:t>
      </w:r>
      <w:r w:rsidR="00DF52CB" w:rsidRPr="00DF52CB">
        <w:rPr>
          <w:rFonts w:ascii="Times New Roman" w:eastAsia="宋体" w:hAnsi="宋体" w:cs="Times New Roman"/>
          <w:color w:val="000000"/>
          <w:sz w:val="24"/>
          <w:szCs w:val="24"/>
        </w:rPr>
        <w:t>3-5</w:t>
      </w:r>
      <w:r w:rsidR="00DF52CB" w:rsidRPr="00DF52CB">
        <w:rPr>
          <w:rFonts w:ascii="Times New Roman" w:eastAsia="宋体" w:hAnsi="宋体" w:cs="Times New Roman"/>
          <w:color w:val="000000"/>
          <w:sz w:val="24"/>
          <w:szCs w:val="24"/>
        </w:rPr>
        <w:t>名高层次人才及二级学科带头人。</w:t>
      </w:r>
    </w:p>
    <w:p w:rsidR="00987369" w:rsidRPr="00777D48" w:rsidRDefault="001D0794" w:rsidP="008D181D">
      <w:pPr>
        <w:spacing w:line="450" w:lineRule="exact"/>
        <w:ind w:firstLineChars="200" w:firstLine="480"/>
        <w:jc w:val="both"/>
        <w:rPr>
          <w:rFonts w:ascii="Times New Roman" w:eastAsia="宋体" w:hAnsi="宋体" w:cs="Times New Roman"/>
          <w:color w:val="000000"/>
          <w:sz w:val="24"/>
          <w:szCs w:val="24"/>
        </w:rPr>
      </w:pPr>
      <w:r w:rsidRPr="001D0794">
        <w:rPr>
          <w:rFonts w:ascii="Times New Roman" w:eastAsia="宋体" w:hAnsi="宋体" w:cs="Times New Roman"/>
          <w:color w:val="000000"/>
          <w:sz w:val="24"/>
          <w:szCs w:val="24"/>
        </w:rPr>
        <w:t>生物医药被誉为新一轮技术革命“皇冠上的宝石”，广东省是医药大省，医药工业产值、工业增加值、利税、产</w:t>
      </w:r>
      <w:r w:rsidR="00A03ACD">
        <w:rPr>
          <w:rFonts w:ascii="Times New Roman" w:eastAsiaTheme="minorEastAsia" w:hAnsiTheme="minorEastAsia" w:cs="Times New Roman"/>
          <w:color w:val="000000"/>
          <w:sz w:val="24"/>
          <w:szCs w:val="24"/>
        </w:rPr>
        <w:t>品销售收入等位居全国前列，医药工业因此被列为广东的支柱产业之一</w:t>
      </w:r>
      <w:r w:rsidRPr="001D0794">
        <w:rPr>
          <w:rFonts w:ascii="Times New Roman" w:eastAsia="宋体" w:hAnsi="宋体" w:cs="Times New Roman"/>
          <w:color w:val="000000"/>
          <w:sz w:val="24"/>
          <w:szCs w:val="24"/>
        </w:rPr>
        <w:t>，因此药学专业人才培养存在缺口。</w:t>
      </w:r>
      <w:r w:rsidR="00987369" w:rsidRPr="00987369">
        <w:rPr>
          <w:rFonts w:ascii="Times New Roman" w:eastAsia="宋体" w:hAnsi="宋体" w:cs="Times New Roman"/>
          <w:color w:val="000000"/>
          <w:sz w:val="24"/>
          <w:szCs w:val="24"/>
        </w:rPr>
        <w:t>本学位点的培养目标按照国家有关规定和要求设立，旨在培养有扎实的专业知识和技能、综合素质高、知识面广和创新能力强的德、智、体全面发展的药学专业高级技术人才。</w:t>
      </w:r>
    </w:p>
    <w:p w:rsidR="00A701A7" w:rsidRDefault="00A701A7">
      <w:pPr>
        <w:adjustRightInd/>
        <w:snapToGrid/>
        <w:spacing w:line="220" w:lineRule="atLeast"/>
      </w:pPr>
      <w:r>
        <w:br w:type="page"/>
      </w:r>
    </w:p>
    <w:p w:rsidR="00133ADF" w:rsidRDefault="00133ADF">
      <w:pPr>
        <w:adjustRightInd/>
        <w:snapToGrid/>
        <w:spacing w:line="220" w:lineRule="atLeast"/>
      </w:pPr>
    </w:p>
    <w:p w:rsidR="00133ADF" w:rsidRPr="005F7873" w:rsidRDefault="00133ADF" w:rsidP="005F7873">
      <w:pPr>
        <w:shd w:val="clear" w:color="auto" w:fill="EBF6EC"/>
        <w:spacing w:line="345" w:lineRule="atLeast"/>
        <w:rPr>
          <w:rFonts w:ascii="微软雅黑" w:hAnsi="微软雅黑" w:cs="宋体"/>
          <w:b/>
          <w:bCs/>
          <w:color w:val="333333"/>
          <w:sz w:val="24"/>
          <w:szCs w:val="24"/>
        </w:rPr>
      </w:pPr>
      <w:r w:rsidRPr="00222E2D">
        <w:rPr>
          <w:rFonts w:ascii="微软雅黑" w:hAnsi="微软雅黑" w:cs="宋体" w:hint="eastAsia"/>
          <w:b/>
          <w:bCs/>
          <w:color w:val="333333"/>
          <w:sz w:val="24"/>
          <w:szCs w:val="24"/>
        </w:rPr>
        <w:t>专业介绍</w:t>
      </w:r>
    </w:p>
    <w:p w:rsidR="00133ADF" w:rsidRPr="00222E2D" w:rsidRDefault="00133ADF" w:rsidP="00133ADF">
      <w:pPr>
        <w:shd w:val="clear" w:color="auto" w:fill="3A8514"/>
        <w:spacing w:line="495" w:lineRule="atLeast"/>
        <w:jc w:val="center"/>
        <w:rPr>
          <w:rFonts w:ascii="微软雅黑" w:hAnsi="微软雅黑" w:cs="宋体"/>
          <w:color w:val="E6E6E6"/>
          <w:sz w:val="24"/>
          <w:szCs w:val="24"/>
        </w:rPr>
      </w:pPr>
      <w:r w:rsidRPr="00222E2D">
        <w:rPr>
          <w:rFonts w:ascii="微软雅黑" w:hAnsi="微软雅黑" w:cs="宋体" w:hint="eastAsia"/>
          <w:color w:val="E6E6E6"/>
          <w:sz w:val="24"/>
          <w:szCs w:val="24"/>
        </w:rPr>
        <w:t>序号</w:t>
      </w:r>
    </w:p>
    <w:p w:rsidR="00133ADF" w:rsidRPr="00222E2D" w:rsidRDefault="00133ADF" w:rsidP="00133ADF">
      <w:pPr>
        <w:shd w:val="clear" w:color="auto" w:fill="3A8514"/>
        <w:spacing w:line="495" w:lineRule="atLeast"/>
        <w:jc w:val="center"/>
        <w:rPr>
          <w:rFonts w:ascii="微软雅黑" w:hAnsi="微软雅黑" w:cs="宋体"/>
          <w:color w:val="E6E6E6"/>
          <w:sz w:val="24"/>
          <w:szCs w:val="24"/>
        </w:rPr>
      </w:pPr>
      <w:r w:rsidRPr="00222E2D">
        <w:rPr>
          <w:rFonts w:ascii="微软雅黑" w:hAnsi="微软雅黑" w:cs="宋体" w:hint="eastAsia"/>
          <w:color w:val="E6E6E6"/>
          <w:sz w:val="24"/>
          <w:szCs w:val="24"/>
        </w:rPr>
        <w:t>学科领域方向</w:t>
      </w:r>
    </w:p>
    <w:p w:rsidR="00133ADF" w:rsidRPr="00222E2D" w:rsidRDefault="00133ADF" w:rsidP="00133ADF">
      <w:pPr>
        <w:shd w:val="clear" w:color="auto" w:fill="3A8514"/>
        <w:spacing w:line="495" w:lineRule="atLeast"/>
        <w:jc w:val="center"/>
        <w:rPr>
          <w:rFonts w:ascii="微软雅黑" w:hAnsi="微软雅黑" w:cs="宋体"/>
          <w:color w:val="E6E6E6"/>
          <w:sz w:val="24"/>
          <w:szCs w:val="24"/>
        </w:rPr>
      </w:pPr>
      <w:r w:rsidRPr="00222E2D">
        <w:rPr>
          <w:rFonts w:ascii="微软雅黑" w:hAnsi="微软雅黑" w:cs="宋体" w:hint="eastAsia"/>
          <w:color w:val="E6E6E6"/>
          <w:sz w:val="24"/>
          <w:szCs w:val="24"/>
        </w:rPr>
        <w:t>主要研究内容简介</w:t>
      </w:r>
    </w:p>
    <w:p w:rsidR="00133ADF" w:rsidRPr="00222E2D" w:rsidRDefault="00133ADF" w:rsidP="00133ADF">
      <w:pPr>
        <w:shd w:val="clear" w:color="auto" w:fill="DBEADB"/>
        <w:spacing w:line="360" w:lineRule="atLeast"/>
        <w:jc w:val="center"/>
        <w:rPr>
          <w:rFonts w:ascii="微软雅黑" w:hAnsi="微软雅黑" w:cs="宋体"/>
          <w:color w:val="333333"/>
          <w:sz w:val="24"/>
          <w:szCs w:val="24"/>
        </w:rPr>
      </w:pPr>
      <w:r w:rsidRPr="00222E2D">
        <w:rPr>
          <w:rFonts w:ascii="微软雅黑" w:hAnsi="微软雅黑" w:cs="宋体" w:hint="eastAsia"/>
          <w:color w:val="333333"/>
          <w:sz w:val="24"/>
          <w:szCs w:val="24"/>
        </w:rPr>
        <w:t>1</w:t>
      </w:r>
    </w:p>
    <w:p w:rsidR="000746C1" w:rsidRPr="00263D00" w:rsidRDefault="000746C1" w:rsidP="00263D00">
      <w:pPr>
        <w:shd w:val="clear" w:color="auto" w:fill="C3DBBA"/>
        <w:spacing w:line="360" w:lineRule="atLeast"/>
        <w:ind w:firstLineChars="1300" w:firstLine="3640"/>
        <w:rPr>
          <w:rFonts w:ascii="Times New Roman" w:hAnsi="Times New Roman"/>
          <w:b/>
          <w:bCs/>
          <w:color w:val="000000"/>
          <w:sz w:val="28"/>
          <w:szCs w:val="28"/>
        </w:rPr>
      </w:pPr>
      <w:r w:rsidRPr="00263D00">
        <w:rPr>
          <w:rFonts w:ascii="Times New Roman" w:hAnsi="Times New Roman"/>
          <w:b/>
          <w:bCs/>
          <w:color w:val="000000"/>
          <w:sz w:val="28"/>
          <w:szCs w:val="28"/>
        </w:rPr>
        <w:t>药物化学</w:t>
      </w:r>
    </w:p>
    <w:p w:rsidR="00263D00" w:rsidRPr="00670BFE" w:rsidRDefault="00263D00" w:rsidP="00670BFE">
      <w:pPr>
        <w:shd w:val="clear" w:color="auto" w:fill="C3DBBA"/>
        <w:spacing w:line="360" w:lineRule="atLeast"/>
        <w:rPr>
          <w:rFonts w:ascii="Times New Roman" w:hAnsi="Times New Roman"/>
          <w:sz w:val="28"/>
          <w:szCs w:val="28"/>
        </w:rPr>
      </w:pPr>
      <w:r w:rsidRPr="00670BFE">
        <w:rPr>
          <w:rFonts w:ascii="Times New Roman" w:hAnsi="Times New Roman" w:cs="Times New Roman"/>
          <w:sz w:val="28"/>
          <w:szCs w:val="28"/>
        </w:rPr>
        <w:t>在理论方面着重于研究药物立体结构与药物的生物活性、毒性差异和药效之间的关系，在应用方面主要以手性药物为研究对象，</w:t>
      </w:r>
      <w:r>
        <w:rPr>
          <w:rFonts w:ascii="Times New Roman" w:hAnsi="Times New Roman" w:cs="Times New Roman"/>
          <w:sz w:val="28"/>
          <w:szCs w:val="28"/>
        </w:rPr>
        <w:t>天然与生化药物和中药有效成分的研究及产品开发</w:t>
      </w:r>
      <w:r w:rsidRPr="00670BFE">
        <w:rPr>
          <w:rFonts w:ascii="Times New Roman" w:hAnsi="Times New Roman" w:cs="Times New Roman"/>
          <w:sz w:val="28"/>
          <w:szCs w:val="28"/>
        </w:rPr>
        <w:t>。</w:t>
      </w:r>
    </w:p>
    <w:p w:rsidR="00133ADF" w:rsidRPr="00222E2D" w:rsidRDefault="00133ADF" w:rsidP="00133ADF">
      <w:pPr>
        <w:shd w:val="clear" w:color="auto" w:fill="C3DBBA"/>
        <w:spacing w:line="360" w:lineRule="atLeast"/>
        <w:jc w:val="center"/>
        <w:rPr>
          <w:rFonts w:ascii="微软雅黑" w:hAnsi="微软雅黑" w:cs="宋体"/>
          <w:color w:val="333333"/>
          <w:sz w:val="24"/>
          <w:szCs w:val="24"/>
        </w:rPr>
      </w:pPr>
      <w:r w:rsidRPr="00222E2D">
        <w:rPr>
          <w:rFonts w:ascii="微软雅黑" w:hAnsi="微软雅黑" w:cs="宋体" w:hint="eastAsia"/>
          <w:color w:val="333333"/>
          <w:sz w:val="24"/>
          <w:szCs w:val="24"/>
        </w:rPr>
        <w:t>2</w:t>
      </w:r>
    </w:p>
    <w:p w:rsidR="00263D00" w:rsidRDefault="00263D00" w:rsidP="00263D00">
      <w:pPr>
        <w:shd w:val="clear" w:color="auto" w:fill="C3DBBA"/>
        <w:spacing w:line="360" w:lineRule="atLeast"/>
        <w:ind w:firstLineChars="1400" w:firstLine="3920"/>
        <w:rPr>
          <w:rFonts w:ascii="Times New Roman" w:hAnsi="Times New Roman"/>
          <w:b/>
          <w:bCs/>
          <w:color w:val="000000"/>
          <w:sz w:val="28"/>
          <w:szCs w:val="28"/>
        </w:rPr>
      </w:pPr>
      <w:r>
        <w:rPr>
          <w:rFonts w:ascii="Times New Roman" w:hAnsi="Times New Roman" w:cs="Times New Roman"/>
          <w:b/>
          <w:bCs/>
          <w:color w:val="000000"/>
          <w:sz w:val="28"/>
          <w:szCs w:val="28"/>
        </w:rPr>
        <w:t>药剂学</w:t>
      </w:r>
    </w:p>
    <w:p w:rsidR="00133ADF" w:rsidRPr="00222E2D" w:rsidRDefault="00263D00" w:rsidP="00133ADF">
      <w:pPr>
        <w:shd w:val="clear" w:color="auto" w:fill="C3DBBA"/>
        <w:spacing w:line="360" w:lineRule="atLeast"/>
        <w:rPr>
          <w:rFonts w:ascii="微软雅黑" w:hAnsi="微软雅黑" w:cs="宋体"/>
          <w:color w:val="333333"/>
          <w:sz w:val="24"/>
          <w:szCs w:val="24"/>
        </w:rPr>
      </w:pPr>
      <w:r>
        <w:rPr>
          <w:rFonts w:ascii="Times New Roman" w:hAnsi="Times New Roman" w:cs="Times New Roman" w:hint="eastAsia"/>
          <w:sz w:val="28"/>
          <w:szCs w:val="28"/>
        </w:rPr>
        <w:t>以缓控释为目的的片剂、胶囊造粒技术，</w:t>
      </w:r>
      <w:r>
        <w:rPr>
          <w:rFonts w:ascii="Times New Roman" w:hAnsi="Times New Roman" w:cs="Times New Roman"/>
          <w:color w:val="000000"/>
          <w:sz w:val="28"/>
          <w:szCs w:val="28"/>
        </w:rPr>
        <w:t>重大疾病治疗中药物的精准递送问题，主要包括仿生与天然来源产物递送系统；智能响应性纳米递送系统；多功能整合制剂用于协同诊疗，设计具有协同的诊疗一体化多功能剂型。</w:t>
      </w:r>
    </w:p>
    <w:p w:rsidR="00133ADF" w:rsidRPr="00222E2D" w:rsidRDefault="00133ADF" w:rsidP="00133ADF">
      <w:pPr>
        <w:shd w:val="clear" w:color="auto" w:fill="DBEADB"/>
        <w:spacing w:line="360" w:lineRule="atLeast"/>
        <w:jc w:val="center"/>
        <w:rPr>
          <w:rFonts w:ascii="微软雅黑" w:hAnsi="微软雅黑" w:cs="宋体"/>
          <w:color w:val="333333"/>
          <w:sz w:val="24"/>
          <w:szCs w:val="24"/>
        </w:rPr>
      </w:pPr>
      <w:r w:rsidRPr="00222E2D">
        <w:rPr>
          <w:rFonts w:ascii="微软雅黑" w:hAnsi="微软雅黑" w:cs="宋体" w:hint="eastAsia"/>
          <w:color w:val="333333"/>
          <w:sz w:val="24"/>
          <w:szCs w:val="24"/>
        </w:rPr>
        <w:t>3</w:t>
      </w:r>
    </w:p>
    <w:p w:rsidR="00263D00" w:rsidRDefault="00263D00" w:rsidP="00263D00">
      <w:pPr>
        <w:shd w:val="clear" w:color="auto" w:fill="DBEADB"/>
        <w:spacing w:line="360" w:lineRule="atLeast"/>
        <w:ind w:firstLineChars="1400" w:firstLine="3920"/>
        <w:rPr>
          <w:rFonts w:ascii="Times New Roman" w:hAnsi="Times New Roman"/>
          <w:b/>
          <w:bCs/>
          <w:color w:val="000000"/>
          <w:sz w:val="28"/>
          <w:szCs w:val="28"/>
        </w:rPr>
      </w:pPr>
      <w:r>
        <w:rPr>
          <w:rFonts w:ascii="Times New Roman" w:hAnsi="Times New Roman" w:cs="Times New Roman"/>
          <w:b/>
          <w:bCs/>
          <w:color w:val="000000"/>
          <w:sz w:val="28"/>
          <w:szCs w:val="28"/>
        </w:rPr>
        <w:t>药理学</w:t>
      </w:r>
    </w:p>
    <w:p w:rsidR="00670BFE" w:rsidRPr="00670BFE" w:rsidRDefault="00670BFE" w:rsidP="00670BFE">
      <w:pPr>
        <w:shd w:val="clear" w:color="auto" w:fill="C3DBBA"/>
        <w:spacing w:line="360" w:lineRule="atLeast"/>
        <w:rPr>
          <w:rFonts w:ascii="Times New Roman" w:hAnsi="Times New Roman"/>
          <w:sz w:val="28"/>
          <w:szCs w:val="28"/>
        </w:rPr>
      </w:pPr>
      <w:r w:rsidRPr="00670BFE">
        <w:rPr>
          <w:rFonts w:ascii="Times New Roman" w:hAnsi="Times New Roman" w:cs="Times New Roman"/>
          <w:sz w:val="28"/>
          <w:szCs w:val="28"/>
        </w:rPr>
        <w:t>主要从事重要脏器损伤的药物防治、神经药理、免疫药理和肿瘤药理，器官特异性基因敲除动物模型等新技术应用于药物作用机制，药物代谢网络和分子药理机制的探索。</w:t>
      </w:r>
    </w:p>
    <w:p w:rsidR="00133ADF" w:rsidRPr="00222E2D" w:rsidRDefault="00133ADF" w:rsidP="00133ADF">
      <w:pPr>
        <w:shd w:val="clear" w:color="auto" w:fill="C3DBBA"/>
        <w:spacing w:line="360" w:lineRule="atLeast"/>
        <w:jc w:val="center"/>
        <w:rPr>
          <w:rFonts w:ascii="微软雅黑" w:hAnsi="微软雅黑" w:cs="宋体"/>
          <w:color w:val="333333"/>
          <w:sz w:val="24"/>
          <w:szCs w:val="24"/>
        </w:rPr>
      </w:pPr>
      <w:r w:rsidRPr="00222E2D">
        <w:rPr>
          <w:rFonts w:ascii="微软雅黑" w:hAnsi="微软雅黑" w:cs="宋体" w:hint="eastAsia"/>
          <w:color w:val="333333"/>
          <w:sz w:val="24"/>
          <w:szCs w:val="24"/>
        </w:rPr>
        <w:t>4</w:t>
      </w:r>
    </w:p>
    <w:p w:rsidR="00240203" w:rsidRDefault="00240203" w:rsidP="00240203">
      <w:pPr>
        <w:shd w:val="clear" w:color="auto" w:fill="C3DBBA"/>
        <w:spacing w:line="360" w:lineRule="atLeast"/>
        <w:ind w:firstLineChars="1300" w:firstLine="3640"/>
        <w:rPr>
          <w:rFonts w:ascii="Times New Roman" w:hAnsi="Times New Roman"/>
          <w:b/>
          <w:bCs/>
          <w:color w:val="000000"/>
          <w:sz w:val="28"/>
          <w:szCs w:val="28"/>
        </w:rPr>
      </w:pPr>
      <w:r>
        <w:rPr>
          <w:rFonts w:ascii="Times New Roman" w:hAnsi="Times New Roman" w:cs="Times New Roman"/>
          <w:b/>
          <w:bCs/>
          <w:color w:val="000000"/>
          <w:sz w:val="28"/>
          <w:szCs w:val="28"/>
        </w:rPr>
        <w:t>药物分析</w:t>
      </w:r>
    </w:p>
    <w:p w:rsidR="005F7873" w:rsidRDefault="005F7873" w:rsidP="00240203">
      <w:pPr>
        <w:shd w:val="clear" w:color="auto" w:fill="C3DBBA"/>
        <w:spacing w:line="360" w:lineRule="atLeast"/>
        <w:ind w:firstLineChars="1300" w:firstLine="3640"/>
        <w:rPr>
          <w:rFonts w:ascii="Times New Roman" w:hAnsi="Times New Roman"/>
          <w:b/>
          <w:bCs/>
          <w:color w:val="000000"/>
          <w:sz w:val="28"/>
          <w:szCs w:val="28"/>
        </w:rPr>
      </w:pPr>
    </w:p>
    <w:p w:rsidR="005F7873" w:rsidRPr="005F7873" w:rsidRDefault="005F7873" w:rsidP="005F7873">
      <w:pPr>
        <w:shd w:val="clear" w:color="auto" w:fill="C3DBBA"/>
        <w:spacing w:line="360" w:lineRule="atLeast"/>
        <w:rPr>
          <w:rFonts w:ascii="Times New Roman" w:hAnsi="Times New Roman"/>
          <w:sz w:val="28"/>
          <w:szCs w:val="28"/>
        </w:rPr>
      </w:pPr>
      <w:r w:rsidRPr="005F7873">
        <w:rPr>
          <w:rFonts w:ascii="Times New Roman" w:hAnsi="Times New Roman" w:cs="Times New Roman"/>
          <w:sz w:val="28"/>
          <w:szCs w:val="28"/>
        </w:rPr>
        <w:t>设计和开发新型手性固定相并建立</w:t>
      </w:r>
      <w:r w:rsidRPr="005F7873">
        <w:rPr>
          <w:rFonts w:ascii="Times New Roman" w:hAnsi="Times New Roman" w:cs="Times New Roman" w:hint="eastAsia"/>
          <w:sz w:val="28"/>
          <w:szCs w:val="28"/>
        </w:rPr>
        <w:t>药物</w:t>
      </w:r>
      <w:r w:rsidRPr="005F7873">
        <w:rPr>
          <w:rFonts w:ascii="Times New Roman" w:hAnsi="Times New Roman" w:cs="Times New Roman"/>
          <w:sz w:val="28"/>
          <w:szCs w:val="28"/>
        </w:rPr>
        <w:t>分析方法学</w:t>
      </w:r>
      <w:r w:rsidRPr="005F7873">
        <w:rPr>
          <w:rFonts w:ascii="Times New Roman" w:hAnsi="Times New Roman" w:cs="Times New Roman" w:hint="eastAsia"/>
          <w:sz w:val="28"/>
          <w:szCs w:val="28"/>
        </w:rPr>
        <w:t>，</w:t>
      </w:r>
      <w:r w:rsidRPr="005F7873">
        <w:rPr>
          <w:rFonts w:ascii="Times New Roman" w:hAnsi="Times New Roman" w:cs="Times New Roman"/>
          <w:sz w:val="28"/>
          <w:szCs w:val="28"/>
        </w:rPr>
        <w:t>以药物基因组分析为学科特色研究方向，着重强调耐药基因分析、基因组学、基因编辑药物靶点分析、基因编辑药物位点分析、药物基因信息学等研究。</w:t>
      </w:r>
    </w:p>
    <w:p w:rsidR="00133ADF" w:rsidRPr="00222E2D" w:rsidRDefault="00133ADF" w:rsidP="00133ADF">
      <w:pPr>
        <w:shd w:val="clear" w:color="auto" w:fill="DBEADB"/>
        <w:spacing w:line="360" w:lineRule="atLeast"/>
        <w:jc w:val="center"/>
        <w:rPr>
          <w:rFonts w:ascii="微软雅黑" w:hAnsi="微软雅黑" w:cs="宋体"/>
          <w:color w:val="333333"/>
          <w:sz w:val="24"/>
          <w:szCs w:val="24"/>
        </w:rPr>
      </w:pPr>
      <w:r w:rsidRPr="00222E2D">
        <w:rPr>
          <w:rFonts w:ascii="微软雅黑" w:hAnsi="微软雅黑" w:cs="宋体" w:hint="eastAsia"/>
          <w:color w:val="333333"/>
          <w:sz w:val="24"/>
          <w:szCs w:val="24"/>
        </w:rPr>
        <w:t>5</w:t>
      </w:r>
    </w:p>
    <w:p w:rsidR="005F7873" w:rsidRDefault="005F7873" w:rsidP="005F7873">
      <w:pPr>
        <w:shd w:val="clear" w:color="auto" w:fill="DBEADB"/>
        <w:spacing w:line="360" w:lineRule="atLeast"/>
        <w:ind w:firstLineChars="1100" w:firstLine="3080"/>
        <w:rPr>
          <w:rFonts w:ascii="Times New Roman" w:hAnsi="Times New Roman"/>
          <w:b/>
          <w:bCs/>
          <w:color w:val="000000"/>
          <w:sz w:val="28"/>
          <w:szCs w:val="28"/>
        </w:rPr>
      </w:pPr>
      <w:r>
        <w:rPr>
          <w:rFonts w:ascii="Times New Roman" w:hAnsi="Times New Roman" w:cs="Times New Roman"/>
          <w:b/>
          <w:bCs/>
          <w:color w:val="000000"/>
          <w:sz w:val="28"/>
          <w:szCs w:val="28"/>
        </w:rPr>
        <w:t>微生物与生化药学</w:t>
      </w:r>
    </w:p>
    <w:p w:rsidR="005F7873" w:rsidRDefault="005F7873" w:rsidP="005F7873">
      <w:pPr>
        <w:shd w:val="clear" w:color="auto" w:fill="DBEADB"/>
        <w:spacing w:line="360" w:lineRule="atLeast"/>
        <w:rPr>
          <w:rFonts w:ascii="Times New Roman" w:hAnsi="Times New Roman"/>
          <w:b/>
          <w:bCs/>
          <w:color w:val="000000"/>
          <w:sz w:val="28"/>
          <w:szCs w:val="28"/>
        </w:rPr>
      </w:pPr>
      <w:r>
        <w:rPr>
          <w:rFonts w:ascii="Times New Roman" w:hAnsi="Times New Roman" w:cs="Times New Roman"/>
          <w:sz w:val="28"/>
          <w:szCs w:val="28"/>
        </w:rPr>
        <w:t>主要从事</w:t>
      </w:r>
      <w:r>
        <w:rPr>
          <w:rFonts w:ascii="Times New Roman" w:hAnsi="Times New Roman" w:cs="Times New Roman"/>
          <w:color w:val="000000"/>
          <w:sz w:val="28"/>
          <w:szCs w:val="28"/>
        </w:rPr>
        <w:t>微生物代谢、微生物药用功能成分、微生物工程发酵与转化生产药用成分以及药用动植物品种改良、新品种开发和药用次生代谢调控等方面的研究。</w:t>
      </w:r>
    </w:p>
    <w:p w:rsidR="005F7873" w:rsidRDefault="005F7873" w:rsidP="005F7873">
      <w:pPr>
        <w:shd w:val="clear" w:color="auto" w:fill="DBEADB"/>
        <w:spacing w:line="360" w:lineRule="atLeast"/>
        <w:rPr>
          <w:rFonts w:ascii="Times New Roman" w:hAnsi="Times New Roman"/>
          <w:b/>
          <w:bCs/>
          <w:color w:val="000000"/>
          <w:sz w:val="28"/>
          <w:szCs w:val="28"/>
        </w:rPr>
      </w:pPr>
    </w:p>
    <w:p w:rsidR="004358AB" w:rsidRDefault="004358AB" w:rsidP="00133ADF">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746C1"/>
    <w:rsid w:val="00086A7C"/>
    <w:rsid w:val="00087004"/>
    <w:rsid w:val="00105AE2"/>
    <w:rsid w:val="00133ADF"/>
    <w:rsid w:val="001D0794"/>
    <w:rsid w:val="00240203"/>
    <w:rsid w:val="002414F5"/>
    <w:rsid w:val="00241600"/>
    <w:rsid w:val="00252590"/>
    <w:rsid w:val="00263D00"/>
    <w:rsid w:val="002B32E4"/>
    <w:rsid w:val="00323B43"/>
    <w:rsid w:val="00365700"/>
    <w:rsid w:val="003D37D8"/>
    <w:rsid w:val="00426133"/>
    <w:rsid w:val="004358AB"/>
    <w:rsid w:val="00437A4B"/>
    <w:rsid w:val="00461C6A"/>
    <w:rsid w:val="00463D95"/>
    <w:rsid w:val="004E3ACB"/>
    <w:rsid w:val="00517DFF"/>
    <w:rsid w:val="00587B3E"/>
    <w:rsid w:val="005C0DDA"/>
    <w:rsid w:val="005F0F2F"/>
    <w:rsid w:val="005F7873"/>
    <w:rsid w:val="006417B5"/>
    <w:rsid w:val="00670BFE"/>
    <w:rsid w:val="0068129E"/>
    <w:rsid w:val="006F457F"/>
    <w:rsid w:val="00777D48"/>
    <w:rsid w:val="007A44B2"/>
    <w:rsid w:val="00824935"/>
    <w:rsid w:val="00873816"/>
    <w:rsid w:val="008B7726"/>
    <w:rsid w:val="008D181D"/>
    <w:rsid w:val="008D2A92"/>
    <w:rsid w:val="008D50D0"/>
    <w:rsid w:val="00902D68"/>
    <w:rsid w:val="009546E0"/>
    <w:rsid w:val="00987369"/>
    <w:rsid w:val="009A26F5"/>
    <w:rsid w:val="009A3B1D"/>
    <w:rsid w:val="009F2138"/>
    <w:rsid w:val="009F4560"/>
    <w:rsid w:val="00A02DFF"/>
    <w:rsid w:val="00A03ACD"/>
    <w:rsid w:val="00A67AC8"/>
    <w:rsid w:val="00A7000A"/>
    <w:rsid w:val="00A701A7"/>
    <w:rsid w:val="00A72AD1"/>
    <w:rsid w:val="00A74AE1"/>
    <w:rsid w:val="00A86A20"/>
    <w:rsid w:val="00AB5325"/>
    <w:rsid w:val="00C421B1"/>
    <w:rsid w:val="00CF554B"/>
    <w:rsid w:val="00CF7493"/>
    <w:rsid w:val="00D1299E"/>
    <w:rsid w:val="00D2035B"/>
    <w:rsid w:val="00D31D50"/>
    <w:rsid w:val="00D71211"/>
    <w:rsid w:val="00DB6667"/>
    <w:rsid w:val="00DF52CB"/>
    <w:rsid w:val="00E61610"/>
    <w:rsid w:val="00E9742A"/>
    <w:rsid w:val="00F71D83"/>
    <w:rsid w:val="00F94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24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60</cp:revision>
  <dcterms:created xsi:type="dcterms:W3CDTF">2008-09-11T17:20:00Z</dcterms:created>
  <dcterms:modified xsi:type="dcterms:W3CDTF">2020-08-23T02:31:00Z</dcterms:modified>
</cp:coreProperties>
</file>