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3DA78">
      <w:pPr>
        <w:pStyle w:val="7"/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关于开展202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auto"/>
          <w:sz w:val="32"/>
          <w:szCs w:val="32"/>
        </w:rPr>
        <w:t>年研究生导师遴选工作的通知</w:t>
      </w:r>
    </w:p>
    <w:p w14:paraId="255D6364">
      <w:pPr>
        <w:spacing w:line="36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各有关单位、</w:t>
      </w:r>
      <w:r>
        <w:rPr>
          <w:rFonts w:ascii="仿宋" w:hAnsi="仿宋" w:eastAsia="仿宋"/>
          <w:color w:val="auto"/>
          <w:sz w:val="28"/>
          <w:szCs w:val="28"/>
        </w:rPr>
        <w:t>各</w:t>
      </w:r>
      <w:r>
        <w:rPr>
          <w:rFonts w:hint="eastAsia" w:ascii="仿宋" w:hAnsi="仿宋" w:eastAsia="仿宋"/>
          <w:color w:val="auto"/>
          <w:sz w:val="28"/>
          <w:szCs w:val="28"/>
        </w:rPr>
        <w:t>一级学科</w:t>
      </w:r>
      <w:r>
        <w:rPr>
          <w:rFonts w:ascii="仿宋" w:hAnsi="仿宋" w:eastAsia="仿宋"/>
          <w:color w:val="auto"/>
          <w:sz w:val="28"/>
          <w:szCs w:val="28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</w:rPr>
        <w:t>专业学位</w:t>
      </w:r>
      <w:r>
        <w:rPr>
          <w:rFonts w:ascii="仿宋" w:hAnsi="仿宋" w:eastAsia="仿宋"/>
          <w:color w:val="auto"/>
          <w:sz w:val="28"/>
          <w:szCs w:val="28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培养</w:t>
      </w:r>
      <w:r>
        <w:rPr>
          <w:rFonts w:ascii="仿宋" w:hAnsi="仿宋" w:eastAsia="仿宋"/>
          <w:color w:val="auto"/>
          <w:sz w:val="28"/>
          <w:szCs w:val="28"/>
        </w:rPr>
        <w:t>指导委员会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 w14:paraId="5F1CFD40">
      <w:pPr>
        <w:spacing w:line="360" w:lineRule="auto"/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依据《国务院</w:t>
      </w:r>
      <w:r>
        <w:rPr>
          <w:rFonts w:ascii="仿宋" w:hAnsi="仿宋" w:eastAsia="仿宋"/>
          <w:color w:val="auto"/>
          <w:sz w:val="28"/>
          <w:szCs w:val="28"/>
        </w:rPr>
        <w:t>学位委员会、</w:t>
      </w:r>
      <w:r>
        <w:rPr>
          <w:rFonts w:hint="eastAsia" w:ascii="仿宋" w:hAnsi="仿宋" w:eastAsia="仿宋"/>
          <w:color w:val="auto"/>
          <w:sz w:val="28"/>
          <w:szCs w:val="28"/>
        </w:rPr>
        <w:t>教育部关于进一步严格规范学位与研究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生教育质量管理的若干意见》（学位〔2020〕19号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《教育部关于加强博士生导师岗位管理的若干意见》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（教研〔2020〕11号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，结合我校研究生培养工作需要，现启动202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年研究生导师遴选工作。各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单位要从政治素质、师德师风、学术水平、育人能力、指导经验和培养条件等方面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选聘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研究生导师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。现将具体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工作通知如下：</w:t>
      </w:r>
    </w:p>
    <w:p w14:paraId="1C270EB1">
      <w:pPr>
        <w:spacing w:line="360" w:lineRule="auto"/>
        <w:ind w:firstLine="562" w:firstLineChars="200"/>
        <w:rPr>
          <w:rFonts w:hint="default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一、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基本要求</w:t>
      </w:r>
    </w:p>
    <w:p w14:paraId="14967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校内学术学位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研究生导师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校内专业学位研究生导师和校外学术学位兼职导师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遴选工作按照《华南师范大学研究生导师遴选办法（修订）》（华师〔2022〕1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42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号）执行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校外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专业学位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导师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选聘工作按照《华南师范大学专业学位研究生校外导师选聘与管理办法》（华师〔2022〕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143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号）执行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其中，第七条（三）调整为“在政府部门、企事业单位、行业协会等担任重要技术或管理职务，具有5年以上专业技术工作经验，且获得省部级以上成果或荣誉称号等”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FEC2005"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2.校内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研究生导师遴选面向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学校全职在岗的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教学科研人员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遴选方式分为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申请新增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资格认定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，各培养单位仅限于本单位2025年具备招生授权的一级学科（专业学位）遴选导师。</w:t>
      </w:r>
    </w:p>
    <w:p w14:paraId="628564C5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校外专业学位行业导师的选聘，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结合专业学位研究生实践基地建设情况和在读研究生规模，有计划、有目的地进行。校外专业学位行业导师原则上应来自研究生校外实践基地。同一工作单位的校外人员选聘同一专业领域的校外导师，不得超过5人。</w:t>
      </w:r>
    </w:p>
    <w:p w14:paraId="621CE7C5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4.因过渡期结束，《华南师范大学科研业绩评价方案》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（华师〔20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停止使用，本次导师遴选工作中涉及的科研成果与业绩须按照《华南师范大学学科代表性成果推荐目录（试行）》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（华师〔20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执行。</w:t>
      </w:r>
    </w:p>
    <w:p w14:paraId="3C2DB386">
      <w:pPr>
        <w:spacing w:line="360" w:lineRule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本次遴选工作业绩统计截止时间为202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年8月31日。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</w:rPr>
        <w:t>同一人员不得在不同学术学位点或不同专业学位点重复申报。</w:t>
      </w:r>
    </w:p>
    <w:p w14:paraId="600DDA76"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二、工作流程</w:t>
      </w:r>
    </w:p>
    <w:p w14:paraId="40666525">
      <w:pPr>
        <w:spacing w:line="360" w:lineRule="auto"/>
        <w:ind w:firstLine="560" w:firstLineChars="200"/>
        <w:rPr>
          <w:rFonts w:ascii="仿宋" w:hAnsi="仿宋" w:eastAsia="仿宋" w:cs="Arial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ascii="仿宋" w:hAnsi="仿宋" w:eastAsia="仿宋" w:cs="Arial"/>
          <w:color w:val="auto"/>
          <w:sz w:val="28"/>
          <w:szCs w:val="28"/>
          <w:highlight w:val="none"/>
        </w:rPr>
        <w:t>.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val="en-US" w:eastAsia="zh-CN"/>
        </w:rPr>
        <w:t>申请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</w:rPr>
        <w:t>人向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val="en-US" w:eastAsia="zh-CN"/>
        </w:rPr>
        <w:t>具备相关学科招生授权的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</w:rPr>
        <w:t>提交材料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val="en-US" w:eastAsia="zh-CN"/>
        </w:rPr>
        <w:t>具体截止时间以各单位通知为准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</w:rPr>
        <w:t>。</w:t>
      </w:r>
    </w:p>
    <w:p w14:paraId="0507E3A1">
      <w:pPr>
        <w:spacing w:line="360" w:lineRule="auto"/>
        <w:ind w:firstLine="560" w:firstLineChars="200"/>
        <w:rPr>
          <w:rFonts w:ascii="仿宋" w:hAnsi="仿宋" w:eastAsia="仿宋" w:cs="Arial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Arial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ascii="仿宋" w:hAnsi="仿宋" w:eastAsia="仿宋" w:cs="Arial"/>
          <w:color w:val="auto"/>
          <w:sz w:val="28"/>
          <w:szCs w:val="28"/>
          <w:highlight w:val="none"/>
        </w:rPr>
        <w:t>.</w:t>
      </w:r>
      <w:r>
        <w:rPr>
          <w:rFonts w:hint="eastAsia" w:ascii="仿宋" w:hAnsi="仿宋" w:eastAsia="仿宋" w:cs="Arial"/>
          <w:color w:val="auto"/>
          <w:sz w:val="28"/>
          <w:szCs w:val="28"/>
          <w:highlight w:val="none"/>
        </w:rPr>
        <w:t>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需指定专人对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材料（简况表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/推荐表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证明材料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）进行核实，确保申请人的各项信息准确无误。</w:t>
      </w:r>
    </w:p>
    <w:p w14:paraId="474B00C8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研究生培养单位</w:t>
      </w:r>
      <w:r>
        <w:rPr>
          <w:rFonts w:hint="eastAsia" w:ascii="仿宋" w:hAnsi="仿宋" w:eastAsia="仿宋"/>
          <w:color w:val="auto"/>
          <w:sz w:val="28"/>
          <w:szCs w:val="28"/>
        </w:rPr>
        <w:t>初评。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/>
          <w:color w:val="auto"/>
          <w:sz w:val="28"/>
          <w:szCs w:val="28"/>
        </w:rPr>
        <w:t>召开学位评定分委员会对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申请人</w:t>
      </w:r>
      <w:r>
        <w:rPr>
          <w:rFonts w:hint="eastAsia" w:ascii="仿宋" w:hAnsi="仿宋" w:eastAsia="仿宋"/>
          <w:color w:val="auto"/>
          <w:sz w:val="28"/>
          <w:szCs w:val="28"/>
        </w:rPr>
        <w:t>的材料进行审议、投票表决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初评通过后：</w:t>
      </w:r>
    </w:p>
    <w:p w14:paraId="083EFC42">
      <w:pPr>
        <w:spacing w:line="360" w:lineRule="auto"/>
        <w:ind w:firstLine="560" w:firstLineChars="200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所有的硕士生导师遴选、仅在一个培养单位招生的一级学科（专业学位）博士生导师遴选可省略培指委审议环节，直接进入公示流程；</w:t>
      </w:r>
    </w:p>
    <w:p w14:paraId="65418D13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多个学院招生的一级学科（专业学位）博士生导师遴选，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各相关培养单位须于</w:t>
      </w:r>
      <w:r>
        <w:rPr>
          <w:rFonts w:ascii="仿宋" w:hAnsi="仿宋" w:eastAsia="仿宋"/>
          <w:color w:val="auto"/>
          <w:sz w:val="28"/>
          <w:szCs w:val="28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</w:rPr>
        <w:t>日前将通过初评的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博导申请人</w:t>
      </w:r>
      <w:r>
        <w:rPr>
          <w:rFonts w:hint="eastAsia" w:ascii="仿宋" w:hAnsi="仿宋" w:eastAsia="仿宋"/>
          <w:color w:val="auto"/>
          <w:sz w:val="28"/>
          <w:szCs w:val="28"/>
        </w:rPr>
        <w:t>材料及学位评定分委员会评议表报所属一级学科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培指委</w:t>
      </w:r>
      <w:r>
        <w:rPr>
          <w:rFonts w:hint="eastAsia" w:ascii="仿宋" w:hAnsi="仿宋" w:eastAsia="仿宋"/>
          <w:color w:val="auto"/>
          <w:sz w:val="28"/>
          <w:szCs w:val="28"/>
        </w:rPr>
        <w:t>审议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。</w:t>
      </w:r>
    </w:p>
    <w:p w14:paraId="4CC2323D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</w:rPr>
        <w:t>一级学科（专业学位）培指委审议</w:t>
      </w:r>
      <w:r>
        <w:rPr>
          <w:rFonts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多个学院招生的一级学科（专业学位）</w:t>
      </w:r>
      <w:r>
        <w:rPr>
          <w:rFonts w:hint="eastAsia" w:ascii="仿宋" w:hAnsi="仿宋" w:eastAsia="仿宋"/>
          <w:color w:val="auto"/>
          <w:sz w:val="28"/>
          <w:szCs w:val="28"/>
        </w:rPr>
        <w:t>培指委召开会议对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培养单位</w:t>
      </w:r>
      <w:r>
        <w:rPr>
          <w:rFonts w:ascii="仿宋" w:hAnsi="仿宋" w:eastAsia="仿宋"/>
          <w:color w:val="auto"/>
          <w:sz w:val="28"/>
          <w:szCs w:val="28"/>
        </w:rPr>
        <w:t>提交</w:t>
      </w:r>
      <w:r>
        <w:rPr>
          <w:rFonts w:hint="eastAsia" w:ascii="仿宋" w:hAnsi="仿宋" w:eastAsia="仿宋"/>
          <w:color w:val="auto"/>
          <w:sz w:val="28"/>
          <w:szCs w:val="28"/>
        </w:rPr>
        <w:t>的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博士生导师遴选</w:t>
      </w:r>
      <w:r>
        <w:rPr>
          <w:rFonts w:ascii="仿宋" w:hAnsi="仿宋" w:eastAsia="仿宋"/>
          <w:color w:val="auto"/>
          <w:sz w:val="28"/>
          <w:szCs w:val="28"/>
        </w:rPr>
        <w:t>材料进行</w:t>
      </w:r>
      <w:r>
        <w:rPr>
          <w:rFonts w:hint="eastAsia" w:ascii="仿宋" w:hAnsi="仿宋" w:eastAsia="仿宋"/>
          <w:color w:val="auto"/>
          <w:sz w:val="28"/>
          <w:szCs w:val="28"/>
        </w:rPr>
        <w:t>审议、</w:t>
      </w:r>
      <w:r>
        <w:rPr>
          <w:rFonts w:ascii="仿宋" w:hAnsi="仿宋" w:eastAsia="仿宋"/>
          <w:color w:val="auto"/>
          <w:sz w:val="28"/>
          <w:szCs w:val="28"/>
        </w:rPr>
        <w:t>投票表决，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且务必提前3天将会议时间、地点告知研究生院，研究生院将视情况组织相关人员列席。培指委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审议结果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日前返回各研究生培养单位。</w:t>
      </w:r>
    </w:p>
    <w:p w14:paraId="387D5759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研究生培养单位</w:t>
      </w:r>
      <w:r>
        <w:rPr>
          <w:rFonts w:hint="eastAsia" w:ascii="仿宋" w:hAnsi="仿宋" w:eastAsia="仿宋"/>
          <w:color w:val="auto"/>
          <w:sz w:val="28"/>
          <w:szCs w:val="28"/>
        </w:rPr>
        <w:t>将通过学位评定分委员会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/>
          <w:color w:val="auto"/>
          <w:sz w:val="28"/>
          <w:szCs w:val="28"/>
        </w:rPr>
        <w:t>一级学科（专业学位）培指委审议的申请人材料在本单位公示5天。公示无异议后，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提交研究生院。</w:t>
      </w:r>
    </w:p>
    <w:p w14:paraId="3B0269E3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其他未尽事宜参照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《华南师范大学研究生导师遴选办法（修订）》（华师〔2022〕1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42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《华南师范大学专业学位研究生校外导师选聘与管理办法》（华师〔2022〕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143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执行。</w:t>
      </w:r>
    </w:p>
    <w:p w14:paraId="288B41D4">
      <w:pPr>
        <w:spacing w:line="360" w:lineRule="auto"/>
        <w:ind w:firstLine="562" w:firstLineChars="200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三、材料报送</w:t>
      </w:r>
    </w:p>
    <w:p w14:paraId="42352106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导师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遴选工作各环节的材料报送要求见</w:t>
      </w:r>
      <w:r>
        <w:rPr>
          <w:rFonts w:hint="eastAsia" w:ascii="仿宋" w:hAnsi="仿宋" w:eastAsia="仿宋"/>
          <w:color w:val="auto"/>
          <w:sz w:val="28"/>
          <w:szCs w:val="28"/>
        </w:rPr>
        <w:t>《研究生导师遴选材料报送要求》（附件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）。</w:t>
      </w:r>
    </w:p>
    <w:p w14:paraId="240317D0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研究生培养单位</w:t>
      </w:r>
      <w:r>
        <w:rPr>
          <w:rFonts w:hint="eastAsia" w:ascii="仿宋" w:hAnsi="仿宋" w:eastAsia="仿宋"/>
          <w:color w:val="auto"/>
          <w:sz w:val="28"/>
          <w:szCs w:val="28"/>
        </w:rPr>
        <w:t>在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11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前</w:t>
      </w:r>
      <w:r>
        <w:rPr>
          <w:rFonts w:hint="eastAsia" w:ascii="仿宋" w:hAnsi="仿宋" w:eastAsia="仿宋"/>
          <w:color w:val="auto"/>
          <w:sz w:val="28"/>
          <w:szCs w:val="28"/>
        </w:rPr>
        <w:t>将通过者名单和有关申请材料报研究生院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302</w:t>
      </w:r>
      <w:r>
        <w:rPr>
          <w:rFonts w:hint="eastAsia" w:ascii="仿宋" w:hAnsi="仿宋" w:eastAsia="仿宋"/>
          <w:color w:val="auto"/>
          <w:sz w:val="28"/>
          <w:szCs w:val="28"/>
        </w:rPr>
        <w:t>学位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科</w:t>
      </w:r>
      <w:r>
        <w:rPr>
          <w:rFonts w:hint="eastAsia" w:ascii="仿宋" w:hAnsi="仿宋" w:eastAsia="仿宋"/>
          <w:color w:val="auto"/>
          <w:sz w:val="28"/>
          <w:szCs w:val="28"/>
        </w:rPr>
        <w:t>复核，电子版材料请发送至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指定邮箱，逾期不予受理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 w14:paraId="06476514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联系人：李老师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学术学位研究生导师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bookmarkStart w:id="0" w:name="_GoBack"/>
      <w:bookmarkEnd w:id="0"/>
    </w:p>
    <w:p w14:paraId="392120A7">
      <w:pPr>
        <w:spacing w:line="360" w:lineRule="auto"/>
        <w:ind w:firstLine="1960" w:firstLineChars="7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崔老师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专业学位研究生导师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 w14:paraId="0D9B0606">
      <w:pPr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/>
          <w:color w:val="auto"/>
          <w:sz w:val="28"/>
          <w:szCs w:val="28"/>
        </w:rPr>
        <w:t>yjshc15@scnu</w:t>
      </w:r>
      <w:r>
        <w:rPr>
          <w:rFonts w:ascii="仿宋" w:hAnsi="仿宋" w:eastAsia="仿宋"/>
          <w:color w:val="auto"/>
          <w:sz w:val="28"/>
          <w:szCs w:val="28"/>
        </w:rPr>
        <w:t>.edu.cn</w:t>
      </w:r>
      <w:r>
        <w:rPr>
          <w:rFonts w:hint="eastAsia" w:ascii="仿宋" w:hAnsi="仿宋" w:eastAsia="仿宋"/>
          <w:color w:val="auto"/>
          <w:sz w:val="28"/>
          <w:szCs w:val="28"/>
        </w:rPr>
        <w:t>，电话：8</w:t>
      </w:r>
      <w:r>
        <w:rPr>
          <w:rFonts w:ascii="仿宋" w:hAnsi="仿宋" w:eastAsia="仿宋"/>
          <w:color w:val="auto"/>
          <w:sz w:val="28"/>
          <w:szCs w:val="28"/>
        </w:rPr>
        <w:t>5211118</w:t>
      </w:r>
    </w:p>
    <w:p w14:paraId="642F129A">
      <w:pPr>
        <w:spacing w:line="240" w:lineRule="auto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br w:type="page"/>
      </w:r>
    </w:p>
    <w:p w14:paraId="378624D8">
      <w:pPr>
        <w:spacing w:line="360" w:lineRule="auto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附件：</w:t>
      </w:r>
    </w:p>
    <w:p w14:paraId="0AA9D32B">
      <w:pPr>
        <w:spacing w:line="360" w:lineRule="auto"/>
        <w:ind w:firstLine="560" w:firstLineChars="200"/>
        <w:jc w:val="lef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color w:val="auto"/>
          <w:sz w:val="28"/>
          <w:szCs w:val="28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学校相关文件</w:t>
      </w:r>
    </w:p>
    <w:p w14:paraId="059EA851">
      <w:pPr>
        <w:spacing w:line="360" w:lineRule="auto"/>
        <w:ind w:left="5319" w:leftChars="266" w:hanging="4760" w:hangingChars="17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</w:rPr>
        <w:t>研究生导师遴选用表</w:t>
      </w:r>
    </w:p>
    <w:p w14:paraId="45BCF04F">
      <w:pPr>
        <w:spacing w:line="360" w:lineRule="auto"/>
        <w:ind w:left="5320" w:hanging="5320" w:hangingChars="1900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研究生导师遴选材料报送要求</w:t>
      </w:r>
    </w:p>
    <w:p w14:paraId="641CF4F1">
      <w:pPr>
        <w:spacing w:line="360" w:lineRule="auto"/>
        <w:ind w:left="5320" w:hanging="5320" w:hangingChars="1900"/>
        <w:jc w:val="lef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4.华南师范大学学位授权点代码名称</w:t>
      </w:r>
    </w:p>
    <w:p w14:paraId="4D26A12F">
      <w:pPr>
        <w:spacing w:line="360" w:lineRule="auto"/>
        <w:jc w:val="left"/>
        <w:rPr>
          <w:rFonts w:ascii="仿宋" w:hAnsi="仿宋" w:eastAsia="仿宋"/>
          <w:color w:val="auto"/>
          <w:sz w:val="28"/>
          <w:szCs w:val="28"/>
        </w:rPr>
      </w:pPr>
    </w:p>
    <w:p w14:paraId="4A5415EB">
      <w:pPr>
        <w:spacing w:line="360" w:lineRule="auto"/>
        <w:ind w:left="5320" w:hanging="5320" w:hangingChars="19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研究生院 校学位办</w:t>
      </w:r>
    </w:p>
    <w:p w14:paraId="52938DDD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58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9882926"/>
      <w:docPartObj>
        <w:docPartGallery w:val="autotext"/>
      </w:docPartObj>
    </w:sdtPr>
    <w:sdtContent>
      <w:p w14:paraId="6324BBA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84B730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D41F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jQxNDU0OTFiMzYwMDRjOTAxYmQ4MTc3M2YwNmYifQ=="/>
  </w:docVars>
  <w:rsids>
    <w:rsidRoot w:val="0086085A"/>
    <w:rsid w:val="00013319"/>
    <w:rsid w:val="000468A4"/>
    <w:rsid w:val="00051664"/>
    <w:rsid w:val="00071A17"/>
    <w:rsid w:val="000B6EC1"/>
    <w:rsid w:val="001136B8"/>
    <w:rsid w:val="0012582B"/>
    <w:rsid w:val="00134157"/>
    <w:rsid w:val="001439EA"/>
    <w:rsid w:val="0017127F"/>
    <w:rsid w:val="00180A00"/>
    <w:rsid w:val="001A083B"/>
    <w:rsid w:val="001B166C"/>
    <w:rsid w:val="001C57D8"/>
    <w:rsid w:val="00216A09"/>
    <w:rsid w:val="002444B8"/>
    <w:rsid w:val="00256030"/>
    <w:rsid w:val="0028111A"/>
    <w:rsid w:val="00296AC8"/>
    <w:rsid w:val="002A0F78"/>
    <w:rsid w:val="002B41CE"/>
    <w:rsid w:val="002E4B09"/>
    <w:rsid w:val="002F2B6E"/>
    <w:rsid w:val="00313424"/>
    <w:rsid w:val="00325F3C"/>
    <w:rsid w:val="0034097D"/>
    <w:rsid w:val="003600DB"/>
    <w:rsid w:val="003671A0"/>
    <w:rsid w:val="00387FF4"/>
    <w:rsid w:val="003A3684"/>
    <w:rsid w:val="003D1362"/>
    <w:rsid w:val="003F2635"/>
    <w:rsid w:val="004136E2"/>
    <w:rsid w:val="00417B6A"/>
    <w:rsid w:val="00422115"/>
    <w:rsid w:val="00423882"/>
    <w:rsid w:val="00436B59"/>
    <w:rsid w:val="00470B3A"/>
    <w:rsid w:val="00485D5D"/>
    <w:rsid w:val="00492DC7"/>
    <w:rsid w:val="004B0617"/>
    <w:rsid w:val="004E3047"/>
    <w:rsid w:val="004F4633"/>
    <w:rsid w:val="0051431D"/>
    <w:rsid w:val="00530D0D"/>
    <w:rsid w:val="00537C73"/>
    <w:rsid w:val="0054226D"/>
    <w:rsid w:val="005650BF"/>
    <w:rsid w:val="00597D54"/>
    <w:rsid w:val="005A1D57"/>
    <w:rsid w:val="005E3F3D"/>
    <w:rsid w:val="005E5B2C"/>
    <w:rsid w:val="005F11EE"/>
    <w:rsid w:val="005F2181"/>
    <w:rsid w:val="0062073A"/>
    <w:rsid w:val="006440AA"/>
    <w:rsid w:val="0065115C"/>
    <w:rsid w:val="00675D56"/>
    <w:rsid w:val="006E109B"/>
    <w:rsid w:val="007507CC"/>
    <w:rsid w:val="00754B6C"/>
    <w:rsid w:val="007966C9"/>
    <w:rsid w:val="007D6949"/>
    <w:rsid w:val="007F5A23"/>
    <w:rsid w:val="00801D66"/>
    <w:rsid w:val="00804E6A"/>
    <w:rsid w:val="00836457"/>
    <w:rsid w:val="00836CFE"/>
    <w:rsid w:val="00851E7E"/>
    <w:rsid w:val="0086085A"/>
    <w:rsid w:val="008715F2"/>
    <w:rsid w:val="008A4B37"/>
    <w:rsid w:val="008A4FD9"/>
    <w:rsid w:val="008B32D0"/>
    <w:rsid w:val="008C6ACB"/>
    <w:rsid w:val="0093285A"/>
    <w:rsid w:val="00957DB2"/>
    <w:rsid w:val="009834C2"/>
    <w:rsid w:val="00983A30"/>
    <w:rsid w:val="00986F9F"/>
    <w:rsid w:val="00994FB3"/>
    <w:rsid w:val="00995CF8"/>
    <w:rsid w:val="009A0665"/>
    <w:rsid w:val="009A6284"/>
    <w:rsid w:val="009A664D"/>
    <w:rsid w:val="009A6E1C"/>
    <w:rsid w:val="009B5AE5"/>
    <w:rsid w:val="009B66D9"/>
    <w:rsid w:val="009E0361"/>
    <w:rsid w:val="009F2DAC"/>
    <w:rsid w:val="00A07E59"/>
    <w:rsid w:val="00A361AF"/>
    <w:rsid w:val="00A470D5"/>
    <w:rsid w:val="00AA682A"/>
    <w:rsid w:val="00AC5F87"/>
    <w:rsid w:val="00AE2C99"/>
    <w:rsid w:val="00B03903"/>
    <w:rsid w:val="00B04BD8"/>
    <w:rsid w:val="00B16C9B"/>
    <w:rsid w:val="00B17431"/>
    <w:rsid w:val="00B22C9D"/>
    <w:rsid w:val="00B2353F"/>
    <w:rsid w:val="00B338E8"/>
    <w:rsid w:val="00B634CF"/>
    <w:rsid w:val="00BA1E73"/>
    <w:rsid w:val="00BC4581"/>
    <w:rsid w:val="00BD2796"/>
    <w:rsid w:val="00BD2DC2"/>
    <w:rsid w:val="00BE3CCF"/>
    <w:rsid w:val="00BE3D58"/>
    <w:rsid w:val="00BE3F9D"/>
    <w:rsid w:val="00BF2661"/>
    <w:rsid w:val="00BF61C4"/>
    <w:rsid w:val="00C039BC"/>
    <w:rsid w:val="00C14C5E"/>
    <w:rsid w:val="00C264EE"/>
    <w:rsid w:val="00C37496"/>
    <w:rsid w:val="00C6188B"/>
    <w:rsid w:val="00C752DE"/>
    <w:rsid w:val="00CA50D6"/>
    <w:rsid w:val="00CA5FAC"/>
    <w:rsid w:val="00CB0DA0"/>
    <w:rsid w:val="00CC6B61"/>
    <w:rsid w:val="00D12BF3"/>
    <w:rsid w:val="00D51E5A"/>
    <w:rsid w:val="00DB2210"/>
    <w:rsid w:val="00DD66BB"/>
    <w:rsid w:val="00DE5A80"/>
    <w:rsid w:val="00DF1800"/>
    <w:rsid w:val="00E268DB"/>
    <w:rsid w:val="00E41508"/>
    <w:rsid w:val="00E41B9D"/>
    <w:rsid w:val="00E462C7"/>
    <w:rsid w:val="00E46C18"/>
    <w:rsid w:val="00E62D97"/>
    <w:rsid w:val="00E66C50"/>
    <w:rsid w:val="00E76363"/>
    <w:rsid w:val="00EA5AC9"/>
    <w:rsid w:val="00EB21B9"/>
    <w:rsid w:val="00EB7880"/>
    <w:rsid w:val="00EF5A5E"/>
    <w:rsid w:val="00F15334"/>
    <w:rsid w:val="00F37170"/>
    <w:rsid w:val="00F40917"/>
    <w:rsid w:val="00F4763D"/>
    <w:rsid w:val="00F5260E"/>
    <w:rsid w:val="00F96ED2"/>
    <w:rsid w:val="00FF069E"/>
    <w:rsid w:val="00FF4D05"/>
    <w:rsid w:val="09A10345"/>
    <w:rsid w:val="0A3A45FE"/>
    <w:rsid w:val="112E235F"/>
    <w:rsid w:val="112F41A3"/>
    <w:rsid w:val="12DE4463"/>
    <w:rsid w:val="130C6140"/>
    <w:rsid w:val="167364D6"/>
    <w:rsid w:val="1A8A2CA4"/>
    <w:rsid w:val="22D75A19"/>
    <w:rsid w:val="23297576"/>
    <w:rsid w:val="31B018AB"/>
    <w:rsid w:val="37720449"/>
    <w:rsid w:val="37984ECA"/>
    <w:rsid w:val="37D6042A"/>
    <w:rsid w:val="38B57E48"/>
    <w:rsid w:val="42BE051E"/>
    <w:rsid w:val="461159EB"/>
    <w:rsid w:val="472674C8"/>
    <w:rsid w:val="47D9664B"/>
    <w:rsid w:val="4A4F4190"/>
    <w:rsid w:val="50561824"/>
    <w:rsid w:val="54164643"/>
    <w:rsid w:val="59AA6E06"/>
    <w:rsid w:val="5A4E296C"/>
    <w:rsid w:val="5A887778"/>
    <w:rsid w:val="5E19261D"/>
    <w:rsid w:val="5E860CF7"/>
    <w:rsid w:val="69F10F65"/>
    <w:rsid w:val="6BA45C19"/>
    <w:rsid w:val="6FB716E9"/>
    <w:rsid w:val="743708B1"/>
    <w:rsid w:val="747F1901"/>
    <w:rsid w:val="79275B0D"/>
    <w:rsid w:val="7DDD569E"/>
    <w:rsid w:val="7E2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1665</Characters>
  <Lines>12</Lines>
  <Paragraphs>3</Paragraphs>
  <TotalTime>63</TotalTime>
  <ScaleCrop>false</ScaleCrop>
  <LinksUpToDate>false</LinksUpToDate>
  <CharactersWithSpaces>1751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2022-11-11T02:34:00Z</dcterms:created>
  <dc:creator>HUAWEI</dc:creator>
  <cp:lastModifiedBy>XJL</cp:lastModifiedBy>
  <cp:lastPrinted>2024-09-29T01:42:00Z</cp:lastPrinted>
  <dcterms:modified xsi:type="dcterms:W3CDTF">2024-09-30T10:03:11Z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45A8DB209100443E95A316B7A5A1D83E_13</vt:lpwstr>
  </property>
</Properties>
</file>