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500B">
      <w:pPr>
        <w:spacing w:before="18" w:line="360" w:lineRule="auto"/>
        <w:ind w:right="-48" w:rightChars="-22"/>
        <w:jc w:val="center"/>
        <w:rPr>
          <w:rFonts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马克思主义学院公费定向培养粤东西北地区教师项目复试方案</w:t>
      </w:r>
    </w:p>
    <w:p w14:paraId="430488BC">
      <w:pPr>
        <w:spacing w:before="18" w:line="360" w:lineRule="auto"/>
        <w:ind w:right="-48" w:rightChars="-22" w:firstLine="422" w:firstLineChars="200"/>
        <w:rPr>
          <w:rFonts w:ascii="新宋体" w:hAnsi="新宋体" w:eastAsia="新宋体" w:cs="新宋体"/>
          <w:b/>
          <w:color w:val="FF0000"/>
          <w:sz w:val="21"/>
          <w:szCs w:val="21"/>
        </w:rPr>
      </w:pPr>
    </w:p>
    <w:p w14:paraId="4C0152A1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202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年我院学科教学（思政）公费定向培养项目招生指标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名，按1：1.5差额比例进入复试的学生共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eastAsia="zh-CN" w:bidi="ar-SA"/>
        </w:rPr>
        <w:t>31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名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eastAsia="zh-CN" w:bidi="ar-SA"/>
        </w:rPr>
        <w:t>（末位同分3名）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。为高效顺利完成复试录取工作，现就该项目的相关事项及招生工作安排公告如下，供广大考生参考。</w:t>
      </w:r>
    </w:p>
    <w:p w14:paraId="0ECAEEBA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一、</w:t>
      </w:r>
      <w:r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  <w:t>公费定向培养项目简介</w:t>
      </w:r>
    </w:p>
    <w:p w14:paraId="13D573F1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该项目的相关政策介绍请查阅华南师范大学招生信息网（</w:t>
      </w:r>
      <w:r>
        <w:fldChar w:fldCharType="begin"/>
      </w:r>
      <w:r>
        <w:instrText xml:space="preserve"> HYPERLINK "https://yz.scnu.edu.cn/" </w:instrText>
      </w:r>
      <w:r>
        <w:fldChar w:fldCharType="separate"/>
      </w:r>
      <w:r>
        <w:rPr>
          <w:rStyle w:val="13"/>
          <w:rFonts w:ascii="新宋体" w:hAnsi="新宋体" w:eastAsia="新宋体" w:cs="新宋体"/>
          <w:kern w:val="2"/>
          <w:sz w:val="24"/>
          <w:szCs w:val="24"/>
          <w:lang w:val="en-US"/>
        </w:rPr>
        <w:t>华南师范大学研究生招生信息网 (scnu.edu.cn)</w:t>
      </w:r>
      <w:r>
        <w:rPr>
          <w:rStyle w:val="13"/>
          <w:rFonts w:ascii="新宋体" w:hAnsi="新宋体" w:eastAsia="新宋体" w:cs="新宋体"/>
          <w:kern w:val="2"/>
          <w:sz w:val="24"/>
          <w:szCs w:val="24"/>
          <w:lang w:val="en-US"/>
        </w:rPr>
        <w:fldChar w:fldCharType="end"/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）。录取为公费定向培养项目的学生，在读期间的课程、毕业证、学位证等与全日制非定向学生完全一致，各项待遇按照相关政策文件执行。毕业后直接到定向地区教育部门安排的学校任教，不再进行毕业派遣。请考生务必仔细阅读文件内容。</w:t>
      </w:r>
    </w:p>
    <w:p w14:paraId="6F7FB498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202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年我院公费定向生的定向区域及名额分布如下：</w:t>
      </w:r>
    </w:p>
    <w:tbl>
      <w:tblPr>
        <w:tblStyle w:val="10"/>
        <w:tblpPr w:leftFromText="180" w:rightFromText="180" w:vertAnchor="text" w:horzAnchor="page" w:tblpX="2323" w:tblpY="1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54"/>
        <w:gridCol w:w="2158"/>
        <w:gridCol w:w="1500"/>
      </w:tblGrid>
      <w:tr w14:paraId="20B0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 w14:paraId="7438588B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2054" w:type="dxa"/>
            <w:vAlign w:val="center"/>
          </w:tcPr>
          <w:p w14:paraId="4930A7A6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bidi="ar-SA"/>
              </w:rPr>
              <w:t>地级市</w:t>
            </w:r>
          </w:p>
        </w:tc>
        <w:tc>
          <w:tcPr>
            <w:tcW w:w="2158" w:type="dxa"/>
            <w:vAlign w:val="center"/>
          </w:tcPr>
          <w:p w14:paraId="1F19B746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bidi="ar-SA"/>
              </w:rPr>
              <w:t>县（市区）</w:t>
            </w:r>
          </w:p>
        </w:tc>
        <w:tc>
          <w:tcPr>
            <w:tcW w:w="1500" w:type="dxa"/>
            <w:vAlign w:val="center"/>
          </w:tcPr>
          <w:p w14:paraId="4E5B1FC4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bidi="ar-SA"/>
              </w:rPr>
              <w:t>小计（人）</w:t>
            </w:r>
          </w:p>
        </w:tc>
      </w:tr>
      <w:tr w14:paraId="3B8A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9" w:type="dxa"/>
            <w:vMerge w:val="restart"/>
            <w:vAlign w:val="center"/>
          </w:tcPr>
          <w:p w14:paraId="31256D8E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054" w:type="dxa"/>
            <w:vMerge w:val="restart"/>
            <w:vAlign w:val="center"/>
          </w:tcPr>
          <w:p w14:paraId="7F272DB8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汕头市</w:t>
            </w:r>
          </w:p>
        </w:tc>
        <w:tc>
          <w:tcPr>
            <w:tcW w:w="2158" w:type="dxa"/>
            <w:vAlign w:val="center"/>
          </w:tcPr>
          <w:p w14:paraId="65D5B7C1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潮阳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区</w:t>
            </w:r>
          </w:p>
        </w:tc>
        <w:tc>
          <w:tcPr>
            <w:tcW w:w="1500" w:type="dxa"/>
            <w:vAlign w:val="center"/>
          </w:tcPr>
          <w:p w14:paraId="091C8CD7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0479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9" w:type="dxa"/>
            <w:vMerge w:val="continue"/>
            <w:tcBorders/>
            <w:vAlign w:val="center"/>
          </w:tcPr>
          <w:p w14:paraId="393B940C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054" w:type="dxa"/>
            <w:vMerge w:val="continue"/>
            <w:tcBorders/>
            <w:vAlign w:val="center"/>
          </w:tcPr>
          <w:p w14:paraId="46BE1A85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8" w:type="dxa"/>
            <w:vAlign w:val="center"/>
          </w:tcPr>
          <w:p w14:paraId="4FB9B9E3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潮南区</w:t>
            </w:r>
          </w:p>
        </w:tc>
        <w:tc>
          <w:tcPr>
            <w:tcW w:w="1500" w:type="dxa"/>
            <w:vAlign w:val="center"/>
          </w:tcPr>
          <w:p w14:paraId="058B3295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C65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9" w:type="dxa"/>
            <w:vMerge w:val="continue"/>
            <w:tcBorders/>
            <w:vAlign w:val="center"/>
          </w:tcPr>
          <w:p w14:paraId="35ED630E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054" w:type="dxa"/>
            <w:vMerge w:val="continue"/>
            <w:tcBorders/>
            <w:vAlign w:val="center"/>
          </w:tcPr>
          <w:p w14:paraId="2B17486D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8" w:type="dxa"/>
            <w:vAlign w:val="center"/>
          </w:tcPr>
          <w:p w14:paraId="2A0EFF94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澄海区</w:t>
            </w:r>
          </w:p>
        </w:tc>
        <w:tc>
          <w:tcPr>
            <w:tcW w:w="1500" w:type="dxa"/>
            <w:vAlign w:val="center"/>
          </w:tcPr>
          <w:p w14:paraId="265477FB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11B0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restart"/>
            <w:vAlign w:val="center"/>
          </w:tcPr>
          <w:p w14:paraId="4D81E95E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054" w:type="dxa"/>
            <w:vMerge w:val="restart"/>
            <w:vAlign w:val="center"/>
          </w:tcPr>
          <w:p w14:paraId="6550BBF3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惠州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市</w:t>
            </w:r>
          </w:p>
        </w:tc>
        <w:tc>
          <w:tcPr>
            <w:tcW w:w="2158" w:type="dxa"/>
            <w:vAlign w:val="center"/>
          </w:tcPr>
          <w:p w14:paraId="496F733E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博罗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县</w:t>
            </w:r>
          </w:p>
        </w:tc>
        <w:tc>
          <w:tcPr>
            <w:tcW w:w="1500" w:type="dxa"/>
            <w:vAlign w:val="center"/>
          </w:tcPr>
          <w:p w14:paraId="5983BE80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105A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continue"/>
            <w:tcBorders/>
            <w:vAlign w:val="center"/>
          </w:tcPr>
          <w:p w14:paraId="3172EB1E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0E697AA9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58" w:type="dxa"/>
            <w:vAlign w:val="center"/>
          </w:tcPr>
          <w:p w14:paraId="3A4071B5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惠东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县</w:t>
            </w:r>
          </w:p>
        </w:tc>
        <w:tc>
          <w:tcPr>
            <w:tcW w:w="1500" w:type="dxa"/>
            <w:vAlign w:val="center"/>
          </w:tcPr>
          <w:p w14:paraId="659886CE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2571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restart"/>
            <w:vAlign w:val="center"/>
          </w:tcPr>
          <w:p w14:paraId="0C803837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054" w:type="dxa"/>
            <w:vMerge w:val="restart"/>
            <w:vAlign w:val="center"/>
          </w:tcPr>
          <w:p w14:paraId="1E3617FF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汕尾市</w:t>
            </w:r>
          </w:p>
        </w:tc>
        <w:tc>
          <w:tcPr>
            <w:tcW w:w="2158" w:type="dxa"/>
            <w:vAlign w:val="center"/>
          </w:tcPr>
          <w:p w14:paraId="14B0E327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海丰县</w:t>
            </w:r>
          </w:p>
        </w:tc>
        <w:tc>
          <w:tcPr>
            <w:tcW w:w="1500" w:type="dxa"/>
            <w:vAlign w:val="center"/>
          </w:tcPr>
          <w:p w14:paraId="180195C8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6E6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continue"/>
            <w:tcBorders/>
            <w:vAlign w:val="center"/>
          </w:tcPr>
          <w:p w14:paraId="454B24E9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002AA84B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8" w:type="dxa"/>
            <w:vAlign w:val="center"/>
          </w:tcPr>
          <w:p w14:paraId="0F7160F8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陆河县</w:t>
            </w:r>
          </w:p>
        </w:tc>
        <w:tc>
          <w:tcPr>
            <w:tcW w:w="1500" w:type="dxa"/>
            <w:vAlign w:val="center"/>
          </w:tcPr>
          <w:p w14:paraId="640D0925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0B95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restart"/>
            <w:vAlign w:val="center"/>
          </w:tcPr>
          <w:p w14:paraId="27CB5427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054" w:type="dxa"/>
            <w:vMerge w:val="restart"/>
            <w:vAlign w:val="center"/>
          </w:tcPr>
          <w:p w14:paraId="10DDDD63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潮州市</w:t>
            </w:r>
          </w:p>
        </w:tc>
        <w:tc>
          <w:tcPr>
            <w:tcW w:w="2158" w:type="dxa"/>
            <w:vAlign w:val="center"/>
          </w:tcPr>
          <w:p w14:paraId="1E71E9CC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潮安区</w:t>
            </w:r>
          </w:p>
        </w:tc>
        <w:tc>
          <w:tcPr>
            <w:tcW w:w="1500" w:type="dxa"/>
            <w:vAlign w:val="center"/>
          </w:tcPr>
          <w:p w14:paraId="48302FDA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889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continue"/>
            <w:tcBorders/>
            <w:vAlign w:val="center"/>
          </w:tcPr>
          <w:p w14:paraId="054BCF5E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4" w:type="dxa"/>
            <w:vMerge w:val="continue"/>
            <w:tcBorders/>
            <w:vAlign w:val="center"/>
          </w:tcPr>
          <w:p w14:paraId="2B9D346D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8" w:type="dxa"/>
            <w:shd w:val="clear"/>
            <w:vAlign w:val="center"/>
          </w:tcPr>
          <w:p w14:paraId="5C7EA5A3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饶平县</w:t>
            </w:r>
          </w:p>
        </w:tc>
        <w:tc>
          <w:tcPr>
            <w:tcW w:w="1500" w:type="dxa"/>
            <w:shd w:val="clear"/>
            <w:vAlign w:val="center"/>
          </w:tcPr>
          <w:p w14:paraId="7D534CDD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0190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restart"/>
            <w:vAlign w:val="center"/>
          </w:tcPr>
          <w:p w14:paraId="03E624F0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54" w:type="dxa"/>
            <w:vMerge w:val="restart"/>
            <w:vAlign w:val="center"/>
          </w:tcPr>
          <w:p w14:paraId="65C034F8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揭阳市</w:t>
            </w:r>
          </w:p>
        </w:tc>
        <w:tc>
          <w:tcPr>
            <w:tcW w:w="2158" w:type="dxa"/>
            <w:vAlign w:val="center"/>
          </w:tcPr>
          <w:p w14:paraId="6D3D839B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揭西县</w:t>
            </w:r>
          </w:p>
        </w:tc>
        <w:tc>
          <w:tcPr>
            <w:tcW w:w="1500" w:type="dxa"/>
            <w:vAlign w:val="center"/>
          </w:tcPr>
          <w:p w14:paraId="3337D23A"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2A7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continue"/>
            <w:vAlign w:val="center"/>
          </w:tcPr>
          <w:p w14:paraId="755801FC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2A7EF7B7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58" w:type="dxa"/>
            <w:vAlign w:val="center"/>
          </w:tcPr>
          <w:p w14:paraId="10F2787A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惠来县</w:t>
            </w:r>
          </w:p>
        </w:tc>
        <w:tc>
          <w:tcPr>
            <w:tcW w:w="1500" w:type="dxa"/>
            <w:vAlign w:val="center"/>
          </w:tcPr>
          <w:p w14:paraId="468FEEE7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5933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 w14:paraId="70542FB2">
            <w:pPr>
              <w:spacing w:before="120" w:beforeLines="50" w:after="120" w:afterLines="50"/>
              <w:jc w:val="center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bidi="ar-SA"/>
              </w:rPr>
              <w:t>总计（人）</w:t>
            </w:r>
          </w:p>
        </w:tc>
        <w:tc>
          <w:tcPr>
            <w:tcW w:w="5712" w:type="dxa"/>
            <w:gridSpan w:val="3"/>
            <w:vAlign w:val="center"/>
          </w:tcPr>
          <w:p w14:paraId="48C4A908">
            <w:pPr>
              <w:spacing w:before="120" w:beforeLines="50" w:after="120" w:afterLines="5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20</w:t>
            </w:r>
            <w:bookmarkStart w:id="0" w:name="_GoBack"/>
            <w:bookmarkEnd w:id="0"/>
          </w:p>
        </w:tc>
      </w:tr>
    </w:tbl>
    <w:p w14:paraId="76B34EB1">
      <w:pPr>
        <w:pStyle w:val="5"/>
        <w:spacing w:line="360" w:lineRule="auto"/>
        <w:ind w:right="-48" w:rightChars="-22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</w:p>
    <w:p w14:paraId="07D22E5E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</w:p>
    <w:p w14:paraId="6570BC4A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</w:p>
    <w:p w14:paraId="33B5E74F">
      <w:pPr>
        <w:tabs>
          <w:tab w:val="left" w:pos="679"/>
          <w:tab w:val="left" w:pos="680"/>
        </w:tabs>
        <w:spacing w:before="152" w:line="360" w:lineRule="auto"/>
        <w:ind w:left="260" w:right="-48" w:rightChars="-22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</w:p>
    <w:p w14:paraId="1E204389">
      <w:pPr>
        <w:tabs>
          <w:tab w:val="left" w:pos="679"/>
          <w:tab w:val="left" w:pos="680"/>
        </w:tabs>
        <w:spacing w:before="152" w:line="360" w:lineRule="auto"/>
        <w:ind w:left="260" w:right="-48" w:rightChars="-22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</w:p>
    <w:p w14:paraId="0A0974C0">
      <w:pPr>
        <w:tabs>
          <w:tab w:val="left" w:pos="679"/>
          <w:tab w:val="left" w:pos="680"/>
        </w:tabs>
        <w:spacing w:before="152" w:line="360" w:lineRule="auto"/>
        <w:ind w:left="260" w:right="-48" w:rightChars="-22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</w:p>
    <w:p w14:paraId="536164FF">
      <w:pPr>
        <w:tabs>
          <w:tab w:val="left" w:pos="679"/>
          <w:tab w:val="left" w:pos="680"/>
        </w:tabs>
        <w:spacing w:before="152" w:line="360" w:lineRule="auto"/>
        <w:ind w:left="260" w:right="-48" w:rightChars="-22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</w:p>
    <w:p w14:paraId="383521CE">
      <w:pPr>
        <w:tabs>
          <w:tab w:val="left" w:pos="679"/>
          <w:tab w:val="left" w:pos="680"/>
        </w:tabs>
        <w:spacing w:before="152" w:line="360" w:lineRule="auto"/>
        <w:ind w:left="260" w:right="-48" w:rightChars="-22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</w:p>
    <w:p w14:paraId="5E6B18EC">
      <w:pPr>
        <w:tabs>
          <w:tab w:val="left" w:pos="679"/>
          <w:tab w:val="left" w:pos="680"/>
        </w:tabs>
        <w:spacing w:before="152" w:line="360" w:lineRule="auto"/>
        <w:ind w:right="-48" w:rightChars="-22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</w:p>
    <w:p w14:paraId="6F84A6E2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733D86BF">
      <w:pPr>
        <w:pStyle w:val="5"/>
        <w:spacing w:line="360" w:lineRule="auto"/>
        <w:ind w:right="-48" w:rightChars="-22" w:firstLine="420"/>
        <w:jc w:val="both"/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4B948434">
      <w:pPr>
        <w:pStyle w:val="5"/>
        <w:spacing w:line="360" w:lineRule="auto"/>
        <w:ind w:right="-48" w:rightChars="-22" w:firstLine="420"/>
        <w:jc w:val="both"/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34292A75">
      <w:pPr>
        <w:pStyle w:val="5"/>
        <w:spacing w:line="360" w:lineRule="auto"/>
        <w:ind w:right="-48" w:rightChars="-22" w:firstLine="420"/>
        <w:jc w:val="both"/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59979DC1">
      <w:pPr>
        <w:pStyle w:val="5"/>
        <w:spacing w:line="360" w:lineRule="auto"/>
        <w:ind w:right="-48" w:rightChars="-22" w:firstLine="420"/>
        <w:jc w:val="both"/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12C3178C">
      <w:pPr>
        <w:pStyle w:val="5"/>
        <w:spacing w:line="360" w:lineRule="auto"/>
        <w:ind w:right="-48" w:rightChars="-22" w:firstLine="420"/>
        <w:jc w:val="both"/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52F80001">
      <w:pPr>
        <w:pStyle w:val="5"/>
        <w:spacing w:line="360" w:lineRule="auto"/>
        <w:ind w:right="-48" w:rightChars="-22" w:firstLine="420"/>
        <w:jc w:val="both"/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</w:pPr>
    </w:p>
    <w:p w14:paraId="5C68ECB0">
      <w:pPr>
        <w:pStyle w:val="5"/>
        <w:spacing w:line="360" w:lineRule="auto"/>
        <w:ind w:right="-48" w:rightChars="-22" w:firstLine="420"/>
        <w:jc w:val="both"/>
        <w:rPr>
          <w:rFonts w:ascii="新宋体" w:hAnsi="新宋体" w:eastAsia="新宋体" w:cs="新宋体"/>
          <w:b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  <w:t>二、公费定向培养项目招生工作安排</w:t>
      </w:r>
    </w:p>
    <w:p w14:paraId="4EB4E460">
      <w:pPr>
        <w:tabs>
          <w:tab w:val="left" w:pos="679"/>
          <w:tab w:val="left" w:pos="680"/>
        </w:tabs>
        <w:spacing w:before="152" w:line="360" w:lineRule="auto"/>
        <w:ind w:left="260" w:right="-48" w:rightChars="-22"/>
        <w:jc w:val="both"/>
        <w:rPr>
          <w:rFonts w:ascii="新宋体" w:hAnsi="新宋体" w:eastAsia="新宋体" w:cs="新宋体"/>
          <w:b/>
          <w:sz w:val="24"/>
          <w:szCs w:val="24"/>
        </w:rPr>
      </w:pPr>
      <w:r>
        <w:rPr>
          <w:rFonts w:hint="eastAsia" w:ascii="新宋体" w:hAnsi="新宋体" w:eastAsia="新宋体" w:cs="新宋体"/>
          <w:b/>
          <w:spacing w:val="-1"/>
          <w:sz w:val="24"/>
          <w:szCs w:val="24"/>
        </w:rPr>
        <w:t>1、报名资格</w:t>
      </w:r>
    </w:p>
    <w:p w14:paraId="45091DEE">
      <w:pPr>
        <w:pStyle w:val="5"/>
        <w:spacing w:before="152" w:line="360" w:lineRule="auto"/>
        <w:ind w:right="-48" w:rightChars="-22" w:firstLine="482" w:firstLineChars="200"/>
        <w:jc w:val="both"/>
        <w:rPr>
          <w:rFonts w:ascii="新宋体" w:hAnsi="新宋体" w:eastAsia="新宋体" w:cs="新宋体"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4"/>
          <w:szCs w:val="24"/>
          <w:u w:val="single"/>
          <w:lang w:val="en-US" w:bidi="ar-SA"/>
        </w:rPr>
        <w:t>考生报考02专项教育硕士方向的考生，须录取到公费定向培养项目，不可调剂到非定向方向。</w:t>
      </w:r>
      <w:r>
        <w:rPr>
          <w:rFonts w:hint="eastAsia" w:ascii="新宋体" w:hAnsi="新宋体" w:eastAsia="新宋体" w:cs="新宋体"/>
          <w:kern w:val="2"/>
          <w:sz w:val="24"/>
          <w:szCs w:val="24"/>
          <w:lang w:val="en-US" w:bidi="ar-SA"/>
        </w:rPr>
        <w:t>录取规则按总成绩“分数优先，遵循志愿”的原则依次录取到各地区志愿。</w:t>
      </w:r>
    </w:p>
    <w:p w14:paraId="2DC60DCF">
      <w:pPr>
        <w:pStyle w:val="5"/>
        <w:spacing w:before="152" w:line="360" w:lineRule="auto"/>
        <w:ind w:right="-48" w:rightChars="-22" w:firstLine="241" w:firstLineChars="100"/>
        <w:jc w:val="both"/>
        <w:rPr>
          <w:rFonts w:ascii="新宋体" w:hAnsi="新宋体" w:eastAsia="新宋体" w:cs="新宋体"/>
          <w:b/>
          <w:kern w:val="2"/>
          <w:sz w:val="24"/>
          <w:szCs w:val="24"/>
          <w:lang w:val="en-US" w:bidi="ar-SA"/>
        </w:rPr>
      </w:pPr>
      <w:r>
        <w:rPr>
          <w:rFonts w:hint="eastAsia" w:ascii="新宋体" w:hAnsi="新宋体" w:eastAsia="新宋体" w:cs="新宋体"/>
          <w:b/>
          <w:kern w:val="2"/>
          <w:sz w:val="24"/>
          <w:szCs w:val="24"/>
          <w:lang w:val="en-US" w:bidi="ar-SA"/>
        </w:rPr>
        <w:t>2、</w:t>
      </w:r>
      <w:r>
        <w:rPr>
          <w:rFonts w:hint="eastAsia" w:ascii="新宋体" w:hAnsi="新宋体" w:eastAsia="新宋体" w:cs="新宋体"/>
          <w:b/>
          <w:spacing w:val="-1"/>
          <w:sz w:val="24"/>
          <w:szCs w:val="24"/>
        </w:rPr>
        <w:t>报名流程</w:t>
      </w:r>
    </w:p>
    <w:p w14:paraId="3F4CFCAD">
      <w:pPr>
        <w:pStyle w:val="5"/>
        <w:spacing w:before="151" w:line="360" w:lineRule="auto"/>
        <w:ind w:right="-48" w:rightChars="-22" w:firstLine="464" w:firstLineChars="200"/>
        <w:jc w:val="both"/>
        <w:rPr>
          <w:rFonts w:ascii="新宋体" w:hAnsi="新宋体" w:eastAsia="新宋体" w:cs="新宋体"/>
          <w:spacing w:val="-4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spacing w:val="-4"/>
          <w:sz w:val="24"/>
          <w:szCs w:val="24"/>
        </w:rPr>
        <w:t>（1）</w:t>
      </w:r>
      <w:r>
        <w:rPr>
          <w:rFonts w:hint="eastAsia" w:ascii="新宋体" w:hAnsi="新宋体" w:eastAsia="新宋体" w:cs="新宋体"/>
          <w:spacing w:val="-4"/>
          <w:sz w:val="24"/>
          <w:szCs w:val="24"/>
          <w:lang w:val="en-US"/>
        </w:rPr>
        <w:t>如同意报读公费定向项目，请</w:t>
      </w:r>
      <w:r>
        <w:rPr>
          <w:rFonts w:hint="eastAsia" w:ascii="新宋体" w:hAnsi="新宋体" w:eastAsia="新宋体" w:cs="新宋体"/>
          <w:spacing w:val="-4"/>
          <w:sz w:val="24"/>
          <w:szCs w:val="24"/>
        </w:rPr>
        <w:t>考生下载打印</w:t>
      </w:r>
      <w:r>
        <w:rPr>
          <w:rFonts w:hint="eastAsia" w:ascii="新宋体" w:hAnsi="新宋体" w:eastAsia="新宋体" w:cs="新宋体"/>
          <w:spacing w:val="-4"/>
          <w:sz w:val="24"/>
          <w:szCs w:val="24"/>
          <w:lang w:val="en-US"/>
        </w:rPr>
        <w:t>《马克思主义学院公费定向培养粤东西北地区中小学教师项目报名表》，使用黑色签字笔填写相关信息且签名，扫描后电子版并入考生资格审查材料文档中，按照指定时间发送至我院招生邮箱，纸质版带至复试报到现场提交，</w:t>
      </w:r>
      <w:r>
        <w:rPr>
          <w:rFonts w:hint="eastAsia" w:ascii="新宋体" w:hAnsi="新宋体" w:eastAsia="新宋体" w:cs="新宋体"/>
          <w:b/>
          <w:spacing w:val="-4"/>
          <w:sz w:val="24"/>
          <w:szCs w:val="24"/>
          <w:u w:val="single"/>
          <w:lang w:val="en-US"/>
        </w:rPr>
        <w:t>逾期视为自动放弃参加本项目。</w:t>
      </w:r>
    </w:p>
    <w:p w14:paraId="3273A3E0">
      <w:pPr>
        <w:pStyle w:val="5"/>
        <w:spacing w:before="151" w:line="360" w:lineRule="auto"/>
        <w:ind w:right="-48" w:rightChars="-22"/>
        <w:jc w:val="both"/>
        <w:rPr>
          <w:lang w:val="en-US"/>
        </w:rPr>
      </w:pPr>
      <w:r>
        <w:rPr>
          <w:rFonts w:hint="eastAsia" w:ascii="新宋体" w:hAnsi="新宋体" w:eastAsia="新宋体" w:cs="新宋体"/>
          <w:spacing w:val="-4"/>
          <w:sz w:val="24"/>
          <w:szCs w:val="24"/>
          <w:lang w:val="en-US"/>
        </w:rPr>
        <w:t>（2）请考生前往华南师范大学研究生招生信息网下载打印《广东省公费定向培养粤东粤西粤北地区中小学（含幼儿园、特殊教育学校）教师协议书》（下载网址</w:t>
      </w:r>
      <w:r>
        <w:fldChar w:fldCharType="begin"/>
      </w:r>
      <w:r>
        <w:instrText xml:space="preserve"> HYPERLINK "http://yz.scnu.edu.cn/ziliaoxiazai/" </w:instrText>
      </w:r>
      <w:r>
        <w:fldChar w:fldCharType="separate"/>
      </w:r>
      <w:r>
        <w:rPr>
          <w:rStyle w:val="12"/>
          <w:rFonts w:hint="eastAsia"/>
          <w:lang w:val="en-US"/>
        </w:rPr>
        <w:t>http://yz.scnu.edu.cn/ziliaoxiazai/</w:t>
      </w:r>
      <w:r>
        <w:rPr>
          <w:rStyle w:val="13"/>
          <w:rFonts w:hint="eastAsia"/>
          <w:lang w:val="en-US"/>
        </w:rPr>
        <w:fldChar w:fldCharType="end"/>
      </w:r>
      <w:r>
        <w:rPr>
          <w:rFonts w:hint="eastAsia"/>
          <w:lang w:val="en-US"/>
        </w:rPr>
        <w:t>），</w:t>
      </w:r>
      <w:r>
        <w:rPr>
          <w:rFonts w:hint="eastAsia" w:ascii="新宋体" w:hAnsi="新宋体" w:eastAsia="新宋体" w:cs="新宋体"/>
          <w:spacing w:val="-4"/>
          <w:sz w:val="24"/>
          <w:szCs w:val="24"/>
          <w:lang w:val="en-US"/>
        </w:rPr>
        <w:t>参照《协议书填写说明》填写完善相关信息。此件一式六份，请考生全部带至复试报到现场提交，</w:t>
      </w:r>
      <w:r>
        <w:rPr>
          <w:rFonts w:hint="eastAsia" w:ascii="新宋体" w:hAnsi="新宋体" w:eastAsia="新宋体" w:cs="新宋体"/>
          <w:b/>
          <w:spacing w:val="-4"/>
          <w:sz w:val="24"/>
          <w:szCs w:val="24"/>
          <w:u w:val="single"/>
          <w:lang w:val="en-US"/>
        </w:rPr>
        <w:t>逾期视为自动放弃参加本项目。</w:t>
      </w:r>
    </w:p>
    <w:p w14:paraId="302C4DDE">
      <w:pPr>
        <w:pStyle w:val="5"/>
        <w:spacing w:before="151" w:line="360" w:lineRule="auto"/>
        <w:ind w:right="-48" w:rightChars="-22" w:firstLine="233" w:firstLineChars="100"/>
        <w:jc w:val="both"/>
        <w:rPr>
          <w:rFonts w:ascii="新宋体" w:hAnsi="新宋体" w:eastAsia="新宋体" w:cs="新宋体"/>
          <w:b/>
          <w:spacing w:val="-1"/>
          <w:sz w:val="24"/>
          <w:szCs w:val="24"/>
        </w:rPr>
      </w:pPr>
      <w:r>
        <w:rPr>
          <w:rFonts w:hint="eastAsia" w:ascii="新宋体" w:hAnsi="新宋体" w:eastAsia="新宋体" w:cs="新宋体"/>
          <w:b/>
          <w:spacing w:val="-4"/>
          <w:sz w:val="24"/>
          <w:szCs w:val="24"/>
        </w:rPr>
        <w:t>3、</w:t>
      </w:r>
      <w:r>
        <w:rPr>
          <w:rFonts w:hint="eastAsia" w:ascii="新宋体" w:hAnsi="新宋体" w:eastAsia="新宋体" w:cs="新宋体"/>
          <w:b/>
          <w:spacing w:val="-1"/>
          <w:sz w:val="24"/>
          <w:szCs w:val="24"/>
        </w:rPr>
        <w:t>录取流程</w:t>
      </w:r>
    </w:p>
    <w:p w14:paraId="43205A9A">
      <w:pPr>
        <w:spacing w:line="360" w:lineRule="auto"/>
        <w:ind w:firstLine="480" w:firstLineChars="200"/>
        <w:rPr>
          <w:rFonts w:ascii="新宋体" w:hAnsi="新宋体" w:eastAsia="新宋体" w:cs="新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sz w:val="24"/>
          <w:szCs w:val="21"/>
        </w:rPr>
        <w:t>公费定向培</w:t>
      </w:r>
      <w:r>
        <w:rPr>
          <w:rFonts w:hint="eastAsia" w:ascii="新宋体" w:hAnsi="新宋体" w:eastAsia="新宋体" w:cs="新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养项目招生指标与非定向类招生名额分开，报名参加此项目的考生需复试成绩及格方可进入录取流程，我院在录取流程中按初试与复试折算后的总成绩依照“分数优先，遵循志愿”原则进行录取，录满为止。若第一轮复试后仍未录满，学院将根据实际情况组织调剂。</w:t>
      </w:r>
    </w:p>
    <w:p w14:paraId="09F0608E">
      <w:pPr>
        <w:pStyle w:val="5"/>
        <w:spacing w:before="2" w:line="360" w:lineRule="auto"/>
        <w:ind w:right="-48" w:rightChars="-22"/>
        <w:jc w:val="both"/>
        <w:rPr>
          <w:rFonts w:ascii="新宋体" w:hAnsi="新宋体" w:eastAsia="新宋体" w:cs="新宋体"/>
          <w:bCs/>
          <w:sz w:val="24"/>
          <w:szCs w:val="24"/>
          <w:lang w:val="en-US"/>
        </w:rPr>
      </w:pPr>
    </w:p>
    <w:p w14:paraId="15A524B7">
      <w:pPr>
        <w:pStyle w:val="5"/>
        <w:spacing w:line="360" w:lineRule="auto"/>
        <w:ind w:right="-48" w:rightChars="-22"/>
        <w:jc w:val="right"/>
        <w:rPr>
          <w:rFonts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8D65407">
      <w:pPr>
        <w:pStyle w:val="5"/>
        <w:spacing w:line="360" w:lineRule="auto"/>
        <w:ind w:right="-48" w:rightChars="-22"/>
        <w:jc w:val="right"/>
        <w:rPr>
          <w:rFonts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马克思主义学院</w:t>
      </w:r>
    </w:p>
    <w:p w14:paraId="49072600">
      <w:pPr>
        <w:pStyle w:val="5"/>
        <w:spacing w:line="360" w:lineRule="auto"/>
        <w:ind w:right="-48" w:rightChars="-22"/>
        <w:jc w:val="right"/>
        <w:rPr>
          <w:rFonts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新宋体" w:hAnsi="新宋体" w:eastAsia="新宋体" w:cs="新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新宋体" w:hAnsi="新宋体" w:eastAsia="新宋体" w:cs="新宋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新宋体" w:hAnsi="新宋体" w:eastAsia="新宋体" w:cs="新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新宋体" w:hAnsi="新宋体" w:eastAsia="新宋体" w:cs="新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0B9A7B31">
      <w:pPr>
        <w:spacing w:line="360" w:lineRule="auto"/>
        <w:ind w:right="-48" w:rightChars="-22"/>
        <w:jc w:val="both"/>
        <w:rPr>
          <w:rFonts w:ascii="新宋体" w:hAnsi="新宋体" w:eastAsia="新宋体" w:cs="新宋体"/>
          <w:sz w:val="24"/>
          <w:szCs w:val="24"/>
        </w:rPr>
      </w:pP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PMingLiU-CN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mN2Q3M2NkNWNhMGVkYmFhMzE2ODU4ZWU5ZjE1NDgifQ=="/>
  </w:docVars>
  <w:rsids>
    <w:rsidRoot w:val="00FA2E60"/>
    <w:rsid w:val="00037085"/>
    <w:rsid w:val="00086867"/>
    <w:rsid w:val="000A4032"/>
    <w:rsid w:val="000D0353"/>
    <w:rsid w:val="000F7C58"/>
    <w:rsid w:val="00123644"/>
    <w:rsid w:val="001F3382"/>
    <w:rsid w:val="00256AE6"/>
    <w:rsid w:val="002953AF"/>
    <w:rsid w:val="002D074D"/>
    <w:rsid w:val="00304247"/>
    <w:rsid w:val="00330821"/>
    <w:rsid w:val="00337411"/>
    <w:rsid w:val="00341FCB"/>
    <w:rsid w:val="00351793"/>
    <w:rsid w:val="0043257F"/>
    <w:rsid w:val="00462617"/>
    <w:rsid w:val="00476B77"/>
    <w:rsid w:val="00511446"/>
    <w:rsid w:val="005368B0"/>
    <w:rsid w:val="00550A03"/>
    <w:rsid w:val="005516E6"/>
    <w:rsid w:val="005B5DD3"/>
    <w:rsid w:val="005D71B2"/>
    <w:rsid w:val="006329A2"/>
    <w:rsid w:val="006456EA"/>
    <w:rsid w:val="006A2FFD"/>
    <w:rsid w:val="006C2195"/>
    <w:rsid w:val="006C732F"/>
    <w:rsid w:val="006C7D66"/>
    <w:rsid w:val="006D3B7D"/>
    <w:rsid w:val="006F5CC7"/>
    <w:rsid w:val="0070254B"/>
    <w:rsid w:val="007B38A9"/>
    <w:rsid w:val="007C77E0"/>
    <w:rsid w:val="007E52E6"/>
    <w:rsid w:val="00842319"/>
    <w:rsid w:val="0085772F"/>
    <w:rsid w:val="00872F6D"/>
    <w:rsid w:val="00880CDA"/>
    <w:rsid w:val="008B63E8"/>
    <w:rsid w:val="008C51EF"/>
    <w:rsid w:val="00914DB2"/>
    <w:rsid w:val="009C126C"/>
    <w:rsid w:val="009C60FC"/>
    <w:rsid w:val="009E32F9"/>
    <w:rsid w:val="00A30289"/>
    <w:rsid w:val="00AB17E6"/>
    <w:rsid w:val="00B50C40"/>
    <w:rsid w:val="00B83581"/>
    <w:rsid w:val="00BB74CF"/>
    <w:rsid w:val="00BC502F"/>
    <w:rsid w:val="00BD4906"/>
    <w:rsid w:val="00BF0C09"/>
    <w:rsid w:val="00BF4B92"/>
    <w:rsid w:val="00C34477"/>
    <w:rsid w:val="00C70F7A"/>
    <w:rsid w:val="00C718D2"/>
    <w:rsid w:val="00C822A8"/>
    <w:rsid w:val="00CD5C97"/>
    <w:rsid w:val="00CE41E5"/>
    <w:rsid w:val="00D35716"/>
    <w:rsid w:val="00D410BD"/>
    <w:rsid w:val="00D41783"/>
    <w:rsid w:val="00D84D8E"/>
    <w:rsid w:val="00DA0498"/>
    <w:rsid w:val="00E3091E"/>
    <w:rsid w:val="00E54979"/>
    <w:rsid w:val="00ED2F7D"/>
    <w:rsid w:val="00EE0874"/>
    <w:rsid w:val="00F36ACD"/>
    <w:rsid w:val="00FA2E60"/>
    <w:rsid w:val="00FB7FB6"/>
    <w:rsid w:val="00FE2AA0"/>
    <w:rsid w:val="02B01641"/>
    <w:rsid w:val="043D0736"/>
    <w:rsid w:val="084B1077"/>
    <w:rsid w:val="0B140B8B"/>
    <w:rsid w:val="0EA05CB5"/>
    <w:rsid w:val="0F791635"/>
    <w:rsid w:val="11A558E6"/>
    <w:rsid w:val="1265679D"/>
    <w:rsid w:val="180D6232"/>
    <w:rsid w:val="18DA20C0"/>
    <w:rsid w:val="18E50F00"/>
    <w:rsid w:val="190151AD"/>
    <w:rsid w:val="1EB27D85"/>
    <w:rsid w:val="1F70783C"/>
    <w:rsid w:val="1F8E131A"/>
    <w:rsid w:val="2454131B"/>
    <w:rsid w:val="25324BD1"/>
    <w:rsid w:val="26C95BDF"/>
    <w:rsid w:val="36B26294"/>
    <w:rsid w:val="387E5A42"/>
    <w:rsid w:val="3A034409"/>
    <w:rsid w:val="3C434D5B"/>
    <w:rsid w:val="3D50643A"/>
    <w:rsid w:val="40E31447"/>
    <w:rsid w:val="41CB471E"/>
    <w:rsid w:val="433023A2"/>
    <w:rsid w:val="44254D53"/>
    <w:rsid w:val="476847CB"/>
    <w:rsid w:val="4E8347E9"/>
    <w:rsid w:val="4E952F6D"/>
    <w:rsid w:val="4FA233AD"/>
    <w:rsid w:val="526E6133"/>
    <w:rsid w:val="52C87CB9"/>
    <w:rsid w:val="546E1A99"/>
    <w:rsid w:val="55863000"/>
    <w:rsid w:val="578550F7"/>
    <w:rsid w:val="57FC6A56"/>
    <w:rsid w:val="59B157D0"/>
    <w:rsid w:val="5A4F39E0"/>
    <w:rsid w:val="5A7607B2"/>
    <w:rsid w:val="5F7103B5"/>
    <w:rsid w:val="616675A6"/>
    <w:rsid w:val="664D1168"/>
    <w:rsid w:val="690429EA"/>
    <w:rsid w:val="6CA6473F"/>
    <w:rsid w:val="739A4255"/>
    <w:rsid w:val="759F5228"/>
    <w:rsid w:val="76025219"/>
    <w:rsid w:val="76F9201E"/>
    <w:rsid w:val="79B63577"/>
    <w:rsid w:val="7A2B5E82"/>
    <w:rsid w:val="7B1C3BCE"/>
    <w:rsid w:val="7C0F77F2"/>
    <w:rsid w:val="7C542683"/>
    <w:rsid w:val="7E0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宋体" w:hAnsi="宋体" w:eastAsia="PMingLiU" w:cs="宋体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PMingLiU" w:cs="宋体"/>
      <w:b/>
      <w:sz w:val="2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spacing w:line="720" w:lineRule="auto"/>
      <w:outlineLvl w:val="2"/>
    </w:pPr>
    <w:rPr>
      <w:rFonts w:eastAsia="PMingLiU" w:asciiTheme="majorHAnsi" w:hAnsiTheme="majorHAnsi" w:cstheme="majorBidi"/>
      <w:b/>
      <w:bCs/>
      <w:kern w:val="2"/>
      <w:sz w:val="28"/>
      <w:szCs w:val="36"/>
      <w:lang w:eastAsia="zh-TW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sz w:val="21"/>
      <w:szCs w:val="21"/>
    </w:r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5"/>
    <w:autoRedefine/>
    <w:qFormat/>
    <w:uiPriority w:val="0"/>
    <w:pPr>
      <w:snapToGrid w:val="0"/>
    </w:pPr>
    <w:rPr>
      <w:rFonts w:eastAsia="PMingLiU" w:asciiTheme="minorHAnsi" w:hAnsiTheme="minorHAnsi" w:cstheme="minorEastAsia"/>
      <w:kern w:val="2"/>
      <w:sz w:val="18"/>
      <w:szCs w:val="20"/>
      <w:lang w:eastAsia="zh-TW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iPriority w:val="0"/>
    <w:rPr>
      <w:color w:val="800080"/>
      <w:u w:val="single"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1"/>
    <w:link w:val="4"/>
    <w:autoRedefine/>
    <w:qFormat/>
    <w:uiPriority w:val="9"/>
    <w:rPr>
      <w:rFonts w:eastAsia="PMingLiU" w:asciiTheme="majorHAnsi" w:hAnsiTheme="majorHAnsi" w:cstheme="majorBidi"/>
      <w:b/>
      <w:bCs/>
      <w:kern w:val="2"/>
      <w:sz w:val="28"/>
      <w:szCs w:val="36"/>
      <w:lang w:eastAsia="zh-TW"/>
    </w:rPr>
  </w:style>
  <w:style w:type="character" w:customStyle="1" w:styleId="15">
    <w:name w:val="脚注文本 字符"/>
    <w:basedOn w:val="11"/>
    <w:link w:val="8"/>
    <w:autoRedefine/>
    <w:semiHidden/>
    <w:qFormat/>
    <w:uiPriority w:val="99"/>
    <w:rPr>
      <w:rFonts w:eastAsia="PMingLiU" w:asciiTheme="minorHAnsi" w:hAnsiTheme="minorHAnsi" w:cstheme="minorEastAsia"/>
      <w:kern w:val="2"/>
      <w:sz w:val="18"/>
      <w:szCs w:val="20"/>
      <w:lang w:eastAsia="zh-TW"/>
    </w:rPr>
  </w:style>
  <w:style w:type="paragraph" w:customStyle="1" w:styleId="16">
    <w:name w:val="註腳"/>
    <w:link w:val="17"/>
    <w:autoRedefine/>
    <w:qFormat/>
    <w:uiPriority w:val="0"/>
    <w:pPr>
      <w:spacing w:after="160" w:line="259" w:lineRule="auto"/>
    </w:pPr>
    <w:rPr>
      <w:rFonts w:ascii="PMingLiU-CN" w:hAnsi="PMingLiU-CN" w:eastAsia="PMingLiU-CN" w:cs="Helvetica"/>
      <w:color w:val="000000"/>
      <w:sz w:val="18"/>
      <w:szCs w:val="22"/>
      <w:lang w:val="en-US" w:eastAsia="zh-TW" w:bidi="ar-SA"/>
    </w:rPr>
  </w:style>
  <w:style w:type="character" w:customStyle="1" w:styleId="17">
    <w:name w:val="註腳 Char"/>
    <w:link w:val="16"/>
    <w:autoRedefine/>
    <w:qFormat/>
    <w:uiPriority w:val="0"/>
    <w:rPr>
      <w:rFonts w:ascii="PMingLiU-CN" w:hAnsi="PMingLiU-CN" w:eastAsia="PMingLiU-CN" w:cs="Helvetica"/>
      <w:color w:val="000000"/>
      <w:sz w:val="18"/>
      <w:szCs w:val="22"/>
      <w:lang w:val="en-US" w:eastAsia="zh-TW" w:bidi="ar-SA"/>
    </w:rPr>
  </w:style>
  <w:style w:type="paragraph" w:styleId="18">
    <w:name w:val="List Paragraph"/>
    <w:basedOn w:val="1"/>
    <w:autoRedefine/>
    <w:qFormat/>
    <w:uiPriority w:val="1"/>
    <w:pPr>
      <w:ind w:left="680" w:hanging="534"/>
    </w:pPr>
  </w:style>
  <w:style w:type="character" w:customStyle="1" w:styleId="19">
    <w:name w:val="页眉 字符"/>
    <w:basedOn w:val="11"/>
    <w:link w:val="7"/>
    <w:autoRedefine/>
    <w:qFormat/>
    <w:uiPriority w:val="0"/>
    <w:rPr>
      <w:rFonts w:ascii="等线" w:hAnsi="等线" w:eastAsia="等线" w:cs="等线"/>
      <w:sz w:val="18"/>
      <w:szCs w:val="18"/>
      <w:lang w:val="zh-CN" w:bidi="zh-CN"/>
    </w:rPr>
  </w:style>
  <w:style w:type="character" w:customStyle="1" w:styleId="20">
    <w:name w:val="页脚 字符"/>
    <w:basedOn w:val="11"/>
    <w:link w:val="6"/>
    <w:autoRedefine/>
    <w:qFormat/>
    <w:uiPriority w:val="0"/>
    <w:rPr>
      <w:rFonts w:ascii="等线" w:hAnsi="等线" w:eastAsia="等线" w:cs="等线"/>
      <w:sz w:val="18"/>
      <w:szCs w:val="18"/>
      <w:lang w:val="zh-CN" w:bidi="zh-CN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6007-AC2E-4EF9-AD76-2A5E53DED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900</Words>
  <Characters>962</Characters>
  <Lines>7</Lines>
  <Paragraphs>2</Paragraphs>
  <TotalTime>13</TotalTime>
  <ScaleCrop>false</ScaleCrop>
  <LinksUpToDate>false</LinksUpToDate>
  <CharactersWithSpaces>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2023-03-27T09:40:00Z</dcterms:created>
  <dc:creator>user</dc:creator>
  <cp:lastModifiedBy>Horlan  Hsu</cp:lastModifiedBy>
  <cp:lastPrinted>2024-03-22T06:58:00Z</cp:lastPrinted>
  <dcterms:modified xsi:type="dcterms:W3CDTF">2026-03-17T12:38:48Z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F5F1DA5B6DD448958685EC8DF604B63B_13</vt:lpwstr>
  </property>
  <property fmtid="{D5CDD505-2E9C-101B-9397-08002B2CF9AE}" pid="4" name="KSOTemplateDocerSaveRecord">
    <vt:lpwstr>eyJoZGlkIjoiOTU5MjAyNTg5MDVlMDBjODE0ZDliNTY2MDk2YjZhMDkiLCJ1c2VySWQiOiI0NTMwOTI0NjcifQ==</vt:lpwstr>
  </property>
</Properties>
</file>