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六要素整合理念下的以读促写——以2019人教版必修二Unit5 Reading for Writing为例</w:t>
      </w:r>
    </w:p>
    <w:p>
      <w:pPr>
        <w:jc w:val="center"/>
        <w:rPr>
          <w:rFonts w:asciiTheme="minorEastAsia" w:hAnsiTheme="minorEastAsia"/>
          <w:sz w:val="24"/>
          <w:szCs w:val="24"/>
        </w:rPr>
      </w:pPr>
      <w:bookmarkStart w:id="0" w:name="_Hlk72395372"/>
      <w:bookmarkStart w:id="1" w:name="_Hlk72400113"/>
      <w:r>
        <w:rPr>
          <w:rFonts w:hint="eastAsia" w:asciiTheme="minorEastAsia" w:hAnsiTheme="minorEastAsia"/>
          <w:sz w:val="24"/>
          <w:szCs w:val="24"/>
        </w:rPr>
        <w:t xml:space="preserve">吴嘉慧 广东广雅中学 英语 </w:t>
      </w:r>
    </w:p>
    <w:p>
      <w:pPr>
        <w:jc w:val="center"/>
        <w:rPr>
          <w:rFonts w:ascii="Times New Roman" w:hAnsi="Times New Roman" w:cs="Times New Roman"/>
          <w:sz w:val="24"/>
          <w:szCs w:val="24"/>
        </w:rPr>
      </w:pPr>
      <w:r>
        <w:rPr>
          <w:rFonts w:hint="eastAsia" w:ascii="华文仿宋" w:hAnsi="华文仿宋" w:eastAsia="华文仿宋"/>
          <w:sz w:val="24"/>
          <w:szCs w:val="24"/>
        </w:rPr>
        <w:t xml:space="preserve"> </w:t>
      </w:r>
      <w:r>
        <w:rPr>
          <w:rFonts w:ascii="华文仿宋" w:hAnsi="华文仿宋" w:eastAsia="华文仿宋"/>
          <w:sz w:val="24"/>
          <w:szCs w:val="24"/>
        </w:rPr>
        <w:t xml:space="preserve"> </w:t>
      </w:r>
      <w:bookmarkStart w:id="2" w:name="_GoBack"/>
      <w:bookmarkEnd w:id="2"/>
    </w:p>
    <w:bookmarkEnd w:id="0"/>
    <w:p>
      <w:pPr>
        <w:jc w:val="center"/>
        <w:rPr>
          <w:rFonts w:ascii="Times New Roman" w:hAnsi="Times New Roman" w:cs="Times New Roman"/>
          <w:sz w:val="24"/>
          <w:szCs w:val="24"/>
        </w:rPr>
      </w:pPr>
    </w:p>
    <w:bookmarkEnd w:id="1"/>
    <w:p>
      <w:pPr>
        <w:rPr>
          <w:rFonts w:ascii="黑体" w:hAnsi="黑体" w:eastAsia="黑体"/>
          <w:sz w:val="28"/>
          <w:szCs w:val="28"/>
        </w:rPr>
      </w:pPr>
      <w:r>
        <w:rPr>
          <w:rFonts w:hint="eastAsia" w:ascii="黑体" w:hAnsi="黑体" w:eastAsia="黑体"/>
          <w:sz w:val="28"/>
          <w:szCs w:val="28"/>
        </w:rPr>
        <w:t>一、案例简介</w:t>
      </w:r>
    </w:p>
    <w:p>
      <w:pPr>
        <w:ind w:firstLine="420"/>
        <w:rPr>
          <w:rFonts w:asciiTheme="minorEastAsia" w:hAnsiTheme="minorEastAsia"/>
          <w:sz w:val="24"/>
          <w:szCs w:val="24"/>
        </w:rPr>
      </w:pPr>
      <w:r>
        <w:rPr>
          <w:rFonts w:hint="eastAsia" w:asciiTheme="minorEastAsia" w:hAnsiTheme="minorEastAsia"/>
          <w:sz w:val="24"/>
          <w:szCs w:val="24"/>
        </w:rPr>
        <w:t>本课例基于高中英语新课标六要素整合的理念，围绕单元主题语境创设真实情景，从读到写，一步步为学生搭建内容、结构、语言方面的脚手架；同时，强调教学评一体化，课堂最后基于可操作、可实践、可测量的评价量表鼓励学生进行生生互评，量表内容正是本节课为学生搭建的脚手架内容，符合“整体输入--整体互动--整体输出”的理念。本课例选材于2019人教版教材Unit 5中的Reading for Writing部分，单元主题语境为人与社会，具体主题为Music，单元主线为音乐的力量（the power of music）。</w:t>
      </w:r>
    </w:p>
    <w:p>
      <w:pPr>
        <w:ind w:left="239" w:leftChars="114" w:firstLine="240" w:firstLineChars="100"/>
        <w:rPr>
          <w:rFonts w:asciiTheme="minorEastAsia" w:hAnsiTheme="minorEastAsia"/>
          <w:sz w:val="24"/>
          <w:szCs w:val="24"/>
        </w:rPr>
      </w:pPr>
    </w:p>
    <w:p>
      <w:pPr>
        <w:snapToGrid w:val="0"/>
        <w:rPr>
          <w:rFonts w:ascii="黑体" w:hAnsi="黑体" w:eastAsia="黑体"/>
          <w:sz w:val="28"/>
          <w:szCs w:val="28"/>
        </w:rPr>
      </w:pPr>
      <w:r>
        <w:rPr>
          <w:rFonts w:hint="eastAsia" w:ascii="黑体" w:hAnsi="黑体" w:eastAsia="黑体"/>
          <w:sz w:val="28"/>
          <w:szCs w:val="28"/>
        </w:rPr>
        <w:t>二、</w:t>
      </w:r>
      <w:r>
        <w:rPr>
          <w:rFonts w:ascii="黑体" w:hAnsi="黑体" w:eastAsia="黑体"/>
          <w:sz w:val="28"/>
          <w:szCs w:val="28"/>
        </w:rPr>
        <w:t>教学设计</w:t>
      </w:r>
    </w:p>
    <w:p>
      <w:pPr>
        <w:numPr>
          <w:ilvl w:val="0"/>
          <w:numId w:val="1"/>
        </w:numPr>
        <w:rPr>
          <w:b/>
          <w:bCs/>
          <w:sz w:val="24"/>
          <w:szCs w:val="24"/>
        </w:rPr>
      </w:pPr>
      <w:r>
        <w:rPr>
          <w:rFonts w:hint="eastAsia"/>
          <w:b/>
          <w:bCs/>
          <w:sz w:val="24"/>
          <w:szCs w:val="24"/>
        </w:rPr>
        <w:t>教学目标</w:t>
      </w:r>
    </w:p>
    <w:p>
      <w:pPr>
        <w:rPr>
          <w:sz w:val="24"/>
          <w:szCs w:val="24"/>
        </w:rPr>
      </w:pPr>
      <w:r>
        <w:rPr>
          <w:sz w:val="24"/>
          <w:szCs w:val="24"/>
        </w:rPr>
        <w:t xml:space="preserve">After learning this </w:t>
      </w:r>
      <w:r>
        <w:rPr>
          <w:rFonts w:hint="eastAsia"/>
          <w:sz w:val="24"/>
          <w:szCs w:val="24"/>
        </w:rPr>
        <w:t>part (80 mins)</w:t>
      </w:r>
      <w:r>
        <w:rPr>
          <w:sz w:val="24"/>
          <w:szCs w:val="24"/>
        </w:rPr>
        <w:t>, students will be able to:</w:t>
      </w:r>
    </w:p>
    <w:p>
      <w:pPr>
        <w:pStyle w:val="12"/>
        <w:numPr>
          <w:ilvl w:val="0"/>
          <w:numId w:val="2"/>
        </w:numPr>
        <w:ind w:firstLineChars="0"/>
        <w:rPr>
          <w:sz w:val="24"/>
          <w:szCs w:val="24"/>
        </w:rPr>
      </w:pPr>
      <w:r>
        <w:rPr>
          <w:sz w:val="24"/>
          <w:szCs w:val="24"/>
        </w:rPr>
        <w:t>Understand how music has helped Sarah Williams recover from her illness;</w:t>
      </w:r>
    </w:p>
    <w:p>
      <w:pPr>
        <w:pStyle w:val="12"/>
        <w:numPr>
          <w:ilvl w:val="0"/>
          <w:numId w:val="2"/>
        </w:numPr>
        <w:ind w:firstLineChars="0"/>
        <w:rPr>
          <w:sz w:val="24"/>
          <w:szCs w:val="24"/>
        </w:rPr>
      </w:pPr>
      <w:r>
        <w:rPr>
          <w:sz w:val="24"/>
          <w:szCs w:val="24"/>
        </w:rPr>
        <w:t>Analyze the structure and rhetorical devices of a speech;</w:t>
      </w:r>
    </w:p>
    <w:p>
      <w:pPr>
        <w:pStyle w:val="12"/>
        <w:numPr>
          <w:ilvl w:val="0"/>
          <w:numId w:val="2"/>
        </w:numPr>
        <w:ind w:firstLineChars="0"/>
        <w:rPr>
          <w:sz w:val="24"/>
          <w:szCs w:val="24"/>
        </w:rPr>
      </w:pPr>
      <w:r>
        <w:rPr>
          <w:sz w:val="24"/>
          <w:szCs w:val="24"/>
        </w:rPr>
        <w:t xml:space="preserve">Connect the power of music with their own life experience through referring to others' experiences; </w:t>
      </w:r>
    </w:p>
    <w:p>
      <w:pPr>
        <w:pStyle w:val="12"/>
        <w:numPr>
          <w:ilvl w:val="0"/>
          <w:numId w:val="2"/>
        </w:numPr>
        <w:ind w:firstLineChars="0"/>
        <w:rPr>
          <w:sz w:val="24"/>
          <w:szCs w:val="24"/>
        </w:rPr>
      </w:pPr>
      <w:r>
        <w:rPr>
          <w:sz w:val="24"/>
          <w:szCs w:val="24"/>
        </w:rPr>
        <w:t>Create their own speech on how music can help them/someone they know;</w:t>
      </w:r>
    </w:p>
    <w:p>
      <w:pPr>
        <w:pStyle w:val="12"/>
        <w:numPr>
          <w:ilvl w:val="0"/>
          <w:numId w:val="2"/>
        </w:numPr>
        <w:ind w:firstLineChars="0"/>
        <w:rPr>
          <w:sz w:val="24"/>
          <w:szCs w:val="24"/>
        </w:rPr>
      </w:pPr>
      <w:r>
        <w:rPr>
          <w:sz w:val="24"/>
          <w:szCs w:val="24"/>
        </w:rPr>
        <w:t>Edit their peers’ writing based on what they learned in this lesson;</w:t>
      </w:r>
    </w:p>
    <w:p>
      <w:pPr>
        <w:pStyle w:val="12"/>
        <w:numPr>
          <w:ilvl w:val="0"/>
          <w:numId w:val="2"/>
        </w:numPr>
        <w:ind w:firstLineChars="0"/>
        <w:rPr>
          <w:sz w:val="24"/>
          <w:szCs w:val="24"/>
        </w:rPr>
      </w:pPr>
      <w:r>
        <w:rPr>
          <w:sz w:val="24"/>
          <w:szCs w:val="24"/>
        </w:rPr>
        <w:t>Appreciate the power of music through delivering/sharing their own speech.</w:t>
      </w:r>
    </w:p>
    <w:p>
      <w:pPr>
        <w:snapToGrid w:val="0"/>
        <w:rPr>
          <w:rFonts w:ascii="华文仿宋" w:hAnsi="华文仿宋" w:eastAsia="华文仿宋"/>
          <w:b/>
          <w:bCs/>
          <w:sz w:val="24"/>
          <w:szCs w:val="24"/>
        </w:rPr>
      </w:pPr>
    </w:p>
    <w:p>
      <w:pPr>
        <w:numPr>
          <w:ilvl w:val="0"/>
          <w:numId w:val="1"/>
        </w:numPr>
        <w:rPr>
          <w:b/>
          <w:bCs/>
          <w:sz w:val="24"/>
          <w:szCs w:val="24"/>
        </w:rPr>
      </w:pPr>
      <w:r>
        <w:rPr>
          <w:rFonts w:hint="eastAsia"/>
          <w:b/>
          <w:bCs/>
          <w:sz w:val="24"/>
          <w:szCs w:val="24"/>
        </w:rPr>
        <w:t>教学内容</w:t>
      </w:r>
    </w:p>
    <w:p>
      <w:pPr>
        <w:ind w:firstLine="420"/>
        <w:rPr>
          <w:sz w:val="24"/>
          <w:szCs w:val="24"/>
        </w:rPr>
      </w:pPr>
      <w:r>
        <w:rPr>
          <w:rFonts w:hint="eastAsia"/>
          <w:sz w:val="24"/>
          <w:szCs w:val="24"/>
        </w:rPr>
        <w:t>本课例选材于2019人教版教材Unit 5中的Reading for Writing部分。单元主题语境为人与社会，具体主题为Music，单元主线为音乐的力量（the power of music）。教材各板块及板块任务指向目标如下：</w:t>
      </w:r>
    </w:p>
    <w:p>
      <w:pPr>
        <w:rPr>
          <w:sz w:val="24"/>
          <w:szCs w:val="24"/>
        </w:rPr>
      </w:pPr>
      <w:r>
        <w:rPr>
          <w:sz w:val="24"/>
          <w:szCs w:val="24"/>
        </w:rPr>
        <w:drawing>
          <wp:inline distT="0" distB="0" distL="114300" distR="114300">
            <wp:extent cx="5270500" cy="2503805"/>
            <wp:effectExtent l="0" t="0" r="254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0500" cy="2503805"/>
                    </a:xfrm>
                    <a:prstGeom prst="rect">
                      <a:avLst/>
                    </a:prstGeom>
                    <a:noFill/>
                    <a:ln>
                      <a:noFill/>
                    </a:ln>
                  </pic:spPr>
                </pic:pic>
              </a:graphicData>
            </a:graphic>
          </wp:inline>
        </w:drawing>
      </w:r>
    </w:p>
    <w:p>
      <w:pPr>
        <w:ind w:firstLine="420"/>
        <w:rPr>
          <w:sz w:val="24"/>
          <w:szCs w:val="24"/>
        </w:rPr>
      </w:pPr>
      <w:r>
        <w:rPr>
          <w:rFonts w:hint="eastAsia"/>
          <w:sz w:val="24"/>
          <w:szCs w:val="24"/>
        </w:rPr>
        <w:t>本课例关注第五板块Reading for Writing部分，要求学生读一篇讲述音乐如何帮助病人治愈的演讲稿后创作一篇演讲稿，分享音乐如何改变自己或身边的人。具体的语篇分析如下：</w:t>
      </w:r>
    </w:p>
    <w:p>
      <w:pPr>
        <w:rPr>
          <w:sz w:val="24"/>
          <w:szCs w:val="24"/>
        </w:rPr>
      </w:pPr>
      <w:r>
        <w:rPr>
          <w:rFonts w:hint="eastAsia"/>
          <w:sz w:val="24"/>
          <w:szCs w:val="24"/>
        </w:rPr>
        <w:t>【What】Reading部分是一篇演讲稿，演讲者Sarah Williams讲述了自己身患重病心情沮丧，在接受治疗时医生让她听音乐放松，她因此从音乐中汲取到快乐、慰藉、力量、希望与满足感。在音乐的帮助下，她慢慢走向恢复，并呼吁大家在人生遇到困难与挫折时，可以多听音乐，让音乐成为自己生活的一部分。文章后设置了三个问题帮助学生理解文本主线：1. What was Sarah</w:t>
      </w:r>
      <w:r>
        <w:rPr>
          <w:sz w:val="24"/>
          <w:szCs w:val="24"/>
        </w:rPr>
        <w:t>’</w:t>
      </w:r>
      <w:r>
        <w:rPr>
          <w:rFonts w:hint="eastAsia"/>
          <w:sz w:val="24"/>
          <w:szCs w:val="24"/>
        </w:rPr>
        <w:t>s problem? 2. How did music help her during her difficult time? 3. What is her advice to others? 另外，还要求学生配对原文句子及其使用的修辞手段、圈画演讲者描述音乐的力量时所用的关键词句，深化学生对文本的理解。</w:t>
      </w:r>
    </w:p>
    <w:p>
      <w:pPr>
        <w:ind w:firstLine="420"/>
        <w:rPr>
          <w:sz w:val="24"/>
          <w:szCs w:val="24"/>
        </w:rPr>
      </w:pPr>
      <w:r>
        <w:rPr>
          <w:rFonts w:hint="eastAsia"/>
          <w:sz w:val="24"/>
          <w:szCs w:val="24"/>
        </w:rPr>
        <w:t>Writing部分要求学生仿写演讲稿，分享音乐如何改变自己或身边人的生活。为了帮助学生仿写，教材依次从内容、语言、结构、同伴互评四个方面设计了相应的活动。内容方面，要求学生小组合作，讨论音乐对自身或他人做出影响的例子；语言方面，要求学生运用reading部分所学的修辞手段起稿部分语句；结构方面，给出演讲稿主要环节并给出开头模板帮助学生整理写作思路；同伴互评方面，给出包含5个小点的写作评价表要求学生进行同伴互评。教材最后给出分享创作、堂上演讲的小任务。为了达成写作目的，教材设计的任务关注学生写作各个方面（内容、语言、结构）与各个环节（从构思到起稿到修改到分享），教材设计逻辑十分清晰，体现了以读促写的设计理念。</w:t>
      </w:r>
    </w:p>
    <w:p>
      <w:pPr>
        <w:ind w:left="240" w:hanging="240" w:hangingChars="100"/>
        <w:rPr>
          <w:sz w:val="24"/>
          <w:szCs w:val="24"/>
        </w:rPr>
      </w:pPr>
      <w:r>
        <w:rPr>
          <w:rFonts w:hint="eastAsia"/>
          <w:sz w:val="24"/>
          <w:szCs w:val="24"/>
        </w:rPr>
        <w:t>【Why】本单元主题语境为音乐，主要引导学生了解音乐的力量。学生在学习本单元之前普遍都熟悉音乐的娱乐作用，本单元要深化学生关于音乐主题语境的认识，落脚点理念是Opening page中引用美国诗人Henry Wadsworth Longfellow的名言“Music is the universal language of mankind”，向学生渗透音乐是连结不同人、族群与国家的纽带这个文化知识。主阅读篇章The Virtual Choir是一篇介绍性说明文，旨在深化学生对“音乐连结人与人之间关系、使世界变得更美好”的认识，主要关注音乐群体连结功能。Reading for Writing部分则聚焦音乐能帮助患者康复的治愈功能，这一功能是学生日常生活较少接触到的，是学生较为陌生的。因此本部分语篇选用演讲稿的语篇类型，让学生在阅读的过程中有与演讲者Sarah Williams面对面的感觉，深化学生对语篇目的的认识。</w:t>
      </w:r>
    </w:p>
    <w:p>
      <w:pPr>
        <w:ind w:left="240" w:hanging="240" w:hangingChars="100"/>
        <w:rPr>
          <w:sz w:val="24"/>
          <w:szCs w:val="24"/>
        </w:rPr>
      </w:pPr>
      <w:r>
        <w:rPr>
          <w:rFonts w:hint="eastAsia"/>
          <w:sz w:val="24"/>
          <w:szCs w:val="24"/>
        </w:rPr>
        <w:t>【How】本文是一篇演讲稿，结构清晰，语言生活有吸引力与号召力。结构方面，整篇演讲稿遵循Welcome the audience--Introduce yourself--Propose the topic--Personal anecdote--Personal feelings--Close the speech--Thank the audience at the end的语篇逻辑结构；语言方面，运用了丰富的修辞手段：暗喻、明喻、拟人、引用名言、排比、设问，演讲色彩浓厚。基于此文本特征，教材设计了一系列任务，帮助学生在内容、结构、语言方面迁移创新。</w:t>
      </w:r>
    </w:p>
    <w:p>
      <w:pPr>
        <w:rPr>
          <w:sz w:val="24"/>
          <w:szCs w:val="24"/>
        </w:rPr>
      </w:pPr>
    </w:p>
    <w:p>
      <w:pPr>
        <w:numPr>
          <w:ilvl w:val="0"/>
          <w:numId w:val="1"/>
        </w:numPr>
        <w:rPr>
          <w:b/>
          <w:bCs/>
          <w:sz w:val="24"/>
          <w:szCs w:val="24"/>
        </w:rPr>
      </w:pPr>
      <w:r>
        <w:rPr>
          <w:rFonts w:hint="eastAsia"/>
          <w:b/>
          <w:bCs/>
          <w:sz w:val="24"/>
          <w:szCs w:val="24"/>
        </w:rPr>
        <w:t>教学设计方案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836"/>
        <w:gridCol w:w="2563"/>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rPr>
                <w:sz w:val="24"/>
                <w:szCs w:val="24"/>
              </w:rPr>
            </w:pPr>
            <w:r>
              <w:rPr>
                <w:rFonts w:hint="eastAsia"/>
                <w:sz w:val="24"/>
                <w:szCs w:val="24"/>
              </w:rPr>
              <w:t>步骤</w:t>
            </w:r>
          </w:p>
        </w:tc>
        <w:tc>
          <w:tcPr>
            <w:tcW w:w="1846" w:type="dxa"/>
          </w:tcPr>
          <w:p>
            <w:pPr>
              <w:rPr>
                <w:sz w:val="24"/>
                <w:szCs w:val="24"/>
              </w:rPr>
            </w:pPr>
            <w:r>
              <w:rPr>
                <w:rFonts w:hint="eastAsia"/>
                <w:sz w:val="24"/>
                <w:szCs w:val="24"/>
              </w:rPr>
              <w:t>分步骤</w:t>
            </w:r>
          </w:p>
        </w:tc>
        <w:tc>
          <w:tcPr>
            <w:tcW w:w="2520" w:type="dxa"/>
          </w:tcPr>
          <w:p>
            <w:pPr>
              <w:rPr>
                <w:sz w:val="24"/>
                <w:szCs w:val="24"/>
              </w:rPr>
            </w:pPr>
            <w:r>
              <w:rPr>
                <w:rFonts w:hint="eastAsia"/>
                <w:sz w:val="24"/>
                <w:szCs w:val="24"/>
              </w:rPr>
              <w:t>学生活动</w:t>
            </w:r>
          </w:p>
        </w:tc>
        <w:tc>
          <w:tcPr>
            <w:tcW w:w="2723" w:type="dxa"/>
          </w:tcPr>
          <w:p>
            <w:pPr>
              <w:rPr>
                <w:sz w:val="24"/>
                <w:szCs w:val="24"/>
              </w:rPr>
            </w:pPr>
            <w:r>
              <w:rPr>
                <w:rFonts w:hint="eastAsia"/>
                <w:sz w:val="24"/>
                <w:szCs w:val="24"/>
              </w:rPr>
              <w:t>设计理由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restart"/>
          </w:tcPr>
          <w:p>
            <w:pPr>
              <w:rPr>
                <w:sz w:val="24"/>
                <w:szCs w:val="24"/>
              </w:rPr>
            </w:pPr>
            <w:r>
              <w:rPr>
                <w:rFonts w:hint="eastAsia"/>
                <w:sz w:val="24"/>
                <w:szCs w:val="24"/>
              </w:rPr>
              <w:t>Lead-in</w:t>
            </w:r>
          </w:p>
        </w:tc>
        <w:tc>
          <w:tcPr>
            <w:tcW w:w="1846" w:type="dxa"/>
          </w:tcPr>
          <w:p>
            <w:pPr>
              <w:rPr>
                <w:sz w:val="24"/>
                <w:szCs w:val="24"/>
              </w:rPr>
            </w:pPr>
            <w:r>
              <w:rPr>
                <w:rFonts w:hint="eastAsia"/>
                <w:sz w:val="24"/>
                <w:szCs w:val="24"/>
              </w:rPr>
              <w:t>Review</w:t>
            </w:r>
          </w:p>
        </w:tc>
        <w:tc>
          <w:tcPr>
            <w:tcW w:w="2520" w:type="dxa"/>
          </w:tcPr>
          <w:p>
            <w:pPr>
              <w:numPr>
                <w:ilvl w:val="0"/>
                <w:numId w:val="3"/>
              </w:numPr>
              <w:rPr>
                <w:sz w:val="24"/>
                <w:szCs w:val="24"/>
              </w:rPr>
            </w:pPr>
            <w:r>
              <w:rPr>
                <w:rFonts w:hint="eastAsia"/>
                <w:sz w:val="24"/>
                <w:szCs w:val="24"/>
              </w:rPr>
              <w:t>填空回顾Reading and Thinking部分文章的中心思想；</w:t>
            </w:r>
          </w:p>
          <w:p>
            <w:pPr>
              <w:numPr>
                <w:ilvl w:val="0"/>
                <w:numId w:val="3"/>
              </w:numPr>
              <w:rPr>
                <w:sz w:val="24"/>
                <w:szCs w:val="24"/>
              </w:rPr>
            </w:pPr>
            <w:r>
              <w:rPr>
                <w:rFonts w:hint="eastAsia"/>
                <w:sz w:val="24"/>
                <w:szCs w:val="24"/>
              </w:rPr>
              <w:t>思考How can music help people in their personal struggle?</w:t>
            </w:r>
          </w:p>
        </w:tc>
        <w:tc>
          <w:tcPr>
            <w:tcW w:w="2723" w:type="dxa"/>
          </w:tcPr>
          <w:p>
            <w:pPr>
              <w:rPr>
                <w:sz w:val="24"/>
                <w:szCs w:val="24"/>
              </w:rPr>
            </w:pPr>
            <w:r>
              <w:rPr>
                <w:rFonts w:hint="eastAsia"/>
                <w:sz w:val="24"/>
                <w:szCs w:val="24"/>
              </w:rPr>
              <w:t>新课标强调单元整体教学理念，在本课导入阶段回顾前面课时的中心思想，能帮助学生联系已知（音乐的群体作用）与未知（音乐的个体作用）、了解本课时的作用与定位、构建关于主题语境的结构化知识。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tcPr>
          <w:p>
            <w:pPr>
              <w:rPr>
                <w:sz w:val="24"/>
                <w:szCs w:val="24"/>
              </w:rPr>
            </w:pPr>
          </w:p>
        </w:tc>
        <w:tc>
          <w:tcPr>
            <w:tcW w:w="1846" w:type="dxa"/>
          </w:tcPr>
          <w:p>
            <w:pPr>
              <w:rPr>
                <w:sz w:val="24"/>
                <w:szCs w:val="24"/>
              </w:rPr>
            </w:pPr>
            <w:r>
              <w:rPr>
                <w:rFonts w:hint="eastAsia"/>
                <w:sz w:val="24"/>
                <w:szCs w:val="24"/>
              </w:rPr>
              <w:t>Situation</w:t>
            </w:r>
          </w:p>
        </w:tc>
        <w:tc>
          <w:tcPr>
            <w:tcW w:w="2520" w:type="dxa"/>
          </w:tcPr>
          <w:p>
            <w:pPr>
              <w:rPr>
                <w:sz w:val="24"/>
                <w:szCs w:val="24"/>
              </w:rPr>
            </w:pPr>
            <w:r>
              <w:rPr>
                <w:rFonts w:hint="eastAsia"/>
                <w:sz w:val="24"/>
                <w:szCs w:val="24"/>
              </w:rPr>
              <w:t>置身情景</w:t>
            </w:r>
          </w:p>
        </w:tc>
        <w:tc>
          <w:tcPr>
            <w:tcW w:w="2723" w:type="dxa"/>
          </w:tcPr>
          <w:p>
            <w:pPr>
              <w:rPr>
                <w:sz w:val="24"/>
                <w:szCs w:val="24"/>
              </w:rPr>
            </w:pPr>
            <w:r>
              <w:rPr>
                <w:rFonts w:hint="eastAsia"/>
                <w:sz w:val="24"/>
                <w:szCs w:val="24"/>
              </w:rPr>
              <w:t>教材在语篇呈现之前并无指令语说明篇章出处，为了帮助学生更好地理解文本，教师增设与之相关的真实场景。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rPr>
                <w:sz w:val="24"/>
                <w:szCs w:val="24"/>
              </w:rPr>
            </w:pPr>
            <w:r>
              <w:rPr>
                <w:rFonts w:hint="eastAsia"/>
                <w:sz w:val="24"/>
                <w:szCs w:val="24"/>
              </w:rPr>
              <w:t>Pre-reading</w:t>
            </w:r>
          </w:p>
        </w:tc>
        <w:tc>
          <w:tcPr>
            <w:tcW w:w="1846" w:type="dxa"/>
          </w:tcPr>
          <w:p>
            <w:pPr>
              <w:rPr>
                <w:sz w:val="24"/>
                <w:szCs w:val="24"/>
              </w:rPr>
            </w:pPr>
            <w:r>
              <w:rPr>
                <w:rFonts w:hint="eastAsia"/>
                <w:sz w:val="24"/>
                <w:szCs w:val="24"/>
              </w:rPr>
              <w:t xml:space="preserve">Predict </w:t>
            </w:r>
          </w:p>
        </w:tc>
        <w:tc>
          <w:tcPr>
            <w:tcW w:w="2520" w:type="dxa"/>
          </w:tcPr>
          <w:p>
            <w:pPr>
              <w:rPr>
                <w:sz w:val="24"/>
                <w:szCs w:val="24"/>
              </w:rPr>
            </w:pPr>
            <w:r>
              <w:rPr>
                <w:rFonts w:hint="eastAsia"/>
                <w:sz w:val="24"/>
                <w:szCs w:val="24"/>
              </w:rPr>
              <w:t>根据教材配图与文本词汇云图，回答两个问题：1. What is special about the speaker?</w:t>
            </w:r>
          </w:p>
          <w:p>
            <w:pPr>
              <w:numPr>
                <w:ilvl w:val="0"/>
                <w:numId w:val="3"/>
              </w:numPr>
              <w:rPr>
                <w:sz w:val="24"/>
                <w:szCs w:val="24"/>
              </w:rPr>
            </w:pPr>
            <w:r>
              <w:rPr>
                <w:rFonts w:hint="eastAsia"/>
                <w:sz w:val="24"/>
                <w:szCs w:val="24"/>
              </w:rPr>
              <w:t>How do you think music helped her?</w:t>
            </w:r>
          </w:p>
        </w:tc>
        <w:tc>
          <w:tcPr>
            <w:tcW w:w="2723" w:type="dxa"/>
          </w:tcPr>
          <w:p>
            <w:pPr>
              <w:rPr>
                <w:sz w:val="24"/>
                <w:szCs w:val="24"/>
              </w:rPr>
            </w:pPr>
            <w:r>
              <w:rPr>
                <w:rFonts w:hint="eastAsia"/>
                <w:sz w:val="24"/>
                <w:szCs w:val="24"/>
              </w:rPr>
              <w:t>读前让学生观察配图，了解语篇作者背景；词汇云图预测让学生观察文本关键词，预测文本大意。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rPr>
                <w:sz w:val="24"/>
                <w:szCs w:val="24"/>
              </w:rPr>
            </w:pPr>
            <w:r>
              <w:rPr>
                <w:rFonts w:hint="eastAsia"/>
                <w:sz w:val="24"/>
                <w:szCs w:val="24"/>
              </w:rPr>
              <w:t>Reading</w:t>
            </w:r>
          </w:p>
        </w:tc>
        <w:tc>
          <w:tcPr>
            <w:tcW w:w="1846" w:type="dxa"/>
          </w:tcPr>
          <w:p>
            <w:pPr>
              <w:rPr>
                <w:sz w:val="24"/>
                <w:szCs w:val="24"/>
              </w:rPr>
            </w:pPr>
            <w:r>
              <w:rPr>
                <w:rFonts w:hint="eastAsia"/>
                <w:sz w:val="24"/>
                <w:szCs w:val="24"/>
              </w:rPr>
              <w:t>Listen for main idea</w:t>
            </w:r>
          </w:p>
        </w:tc>
        <w:tc>
          <w:tcPr>
            <w:tcW w:w="2520" w:type="dxa"/>
          </w:tcPr>
          <w:p>
            <w:pPr>
              <w:rPr>
                <w:sz w:val="24"/>
                <w:szCs w:val="24"/>
              </w:rPr>
            </w:pPr>
            <w:r>
              <w:rPr>
                <w:rFonts w:hint="eastAsia"/>
                <w:sz w:val="24"/>
                <w:szCs w:val="24"/>
              </w:rPr>
              <w:t>听演讲稿，回答三个问题：</w:t>
            </w:r>
          </w:p>
          <w:p>
            <w:pPr>
              <w:numPr>
                <w:ilvl w:val="0"/>
                <w:numId w:val="4"/>
              </w:numPr>
              <w:rPr>
                <w:sz w:val="24"/>
                <w:szCs w:val="24"/>
              </w:rPr>
            </w:pPr>
            <w:r>
              <w:rPr>
                <w:rFonts w:hint="eastAsia"/>
                <w:sz w:val="24"/>
                <w:szCs w:val="24"/>
              </w:rPr>
              <w:t>What was Sarah</w:t>
            </w:r>
            <w:r>
              <w:rPr>
                <w:sz w:val="24"/>
                <w:szCs w:val="24"/>
              </w:rPr>
              <w:t>’</w:t>
            </w:r>
            <w:r>
              <w:rPr>
                <w:rFonts w:hint="eastAsia"/>
                <w:sz w:val="24"/>
                <w:szCs w:val="24"/>
              </w:rPr>
              <w:t>s problem?</w:t>
            </w:r>
          </w:p>
          <w:p>
            <w:pPr>
              <w:numPr>
                <w:ilvl w:val="0"/>
                <w:numId w:val="4"/>
              </w:numPr>
              <w:rPr>
                <w:sz w:val="24"/>
                <w:szCs w:val="24"/>
              </w:rPr>
            </w:pPr>
            <w:r>
              <w:rPr>
                <w:rFonts w:hint="eastAsia"/>
                <w:sz w:val="24"/>
                <w:szCs w:val="24"/>
              </w:rPr>
              <w:t>How did music help her during her difficult time?</w:t>
            </w:r>
          </w:p>
          <w:p>
            <w:pPr>
              <w:numPr>
                <w:ilvl w:val="0"/>
                <w:numId w:val="4"/>
              </w:numPr>
              <w:rPr>
                <w:sz w:val="24"/>
                <w:szCs w:val="24"/>
              </w:rPr>
            </w:pPr>
            <w:r>
              <w:rPr>
                <w:rFonts w:hint="eastAsia"/>
                <w:sz w:val="24"/>
                <w:szCs w:val="24"/>
              </w:rPr>
              <w:t>What is her advice to others?</w:t>
            </w:r>
          </w:p>
        </w:tc>
        <w:tc>
          <w:tcPr>
            <w:tcW w:w="2723" w:type="dxa"/>
          </w:tcPr>
          <w:p>
            <w:pPr>
              <w:rPr>
                <w:sz w:val="24"/>
                <w:szCs w:val="24"/>
              </w:rPr>
            </w:pPr>
            <w:r>
              <w:rPr>
                <w:rFonts w:hint="eastAsia"/>
                <w:sz w:val="24"/>
                <w:szCs w:val="24"/>
              </w:rPr>
              <w:t>虽然教材板块设计初衷是以读促写，但篇章具有口语化特点（演讲稿），因此将阅读改为听取大意更恰当。设计的三个问题是教材原活动，充分利用新教材。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restart"/>
          </w:tcPr>
          <w:p>
            <w:pPr>
              <w:rPr>
                <w:sz w:val="24"/>
                <w:szCs w:val="24"/>
              </w:rPr>
            </w:pPr>
            <w:r>
              <w:rPr>
                <w:rFonts w:hint="eastAsia"/>
                <w:sz w:val="24"/>
                <w:szCs w:val="24"/>
              </w:rPr>
              <w:t>Pre-writing</w:t>
            </w:r>
          </w:p>
        </w:tc>
        <w:tc>
          <w:tcPr>
            <w:tcW w:w="1846" w:type="dxa"/>
          </w:tcPr>
          <w:p>
            <w:pPr>
              <w:rPr>
                <w:sz w:val="24"/>
                <w:szCs w:val="24"/>
              </w:rPr>
            </w:pPr>
            <w:r>
              <w:rPr>
                <w:rFonts w:hint="eastAsia"/>
                <w:sz w:val="24"/>
                <w:szCs w:val="24"/>
              </w:rPr>
              <w:t>Situation</w:t>
            </w:r>
          </w:p>
        </w:tc>
        <w:tc>
          <w:tcPr>
            <w:tcW w:w="2520" w:type="dxa"/>
          </w:tcPr>
          <w:p>
            <w:pPr>
              <w:rPr>
                <w:sz w:val="24"/>
                <w:szCs w:val="24"/>
              </w:rPr>
            </w:pPr>
            <w:r>
              <w:rPr>
                <w:rFonts w:hint="eastAsia"/>
                <w:sz w:val="24"/>
                <w:szCs w:val="24"/>
              </w:rPr>
              <w:t>置身场景，了解仿写任务</w:t>
            </w:r>
          </w:p>
        </w:tc>
        <w:tc>
          <w:tcPr>
            <w:tcW w:w="2723" w:type="dxa"/>
          </w:tcPr>
          <w:p>
            <w:pPr>
              <w:rPr>
                <w:sz w:val="24"/>
                <w:szCs w:val="24"/>
              </w:rPr>
            </w:pPr>
            <w:r>
              <w:rPr>
                <w:rFonts w:hint="eastAsia"/>
                <w:sz w:val="24"/>
                <w:szCs w:val="24"/>
              </w:rPr>
              <w:t>承继阅读前的场景，写作任务要求学生在同一情景下进行仿写，帮助学生明确写作目的与写作对象。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tcPr>
          <w:p>
            <w:pPr>
              <w:rPr>
                <w:sz w:val="24"/>
                <w:szCs w:val="24"/>
              </w:rPr>
            </w:pPr>
          </w:p>
        </w:tc>
        <w:tc>
          <w:tcPr>
            <w:tcW w:w="1846" w:type="dxa"/>
          </w:tcPr>
          <w:p>
            <w:pPr>
              <w:rPr>
                <w:sz w:val="24"/>
                <w:szCs w:val="24"/>
              </w:rPr>
            </w:pPr>
            <w:r>
              <w:rPr>
                <w:rFonts w:hint="eastAsia"/>
                <w:sz w:val="24"/>
                <w:szCs w:val="24"/>
              </w:rPr>
              <w:t>Content</w:t>
            </w:r>
          </w:p>
        </w:tc>
        <w:tc>
          <w:tcPr>
            <w:tcW w:w="2520" w:type="dxa"/>
          </w:tcPr>
          <w:p>
            <w:pPr>
              <w:rPr>
                <w:sz w:val="24"/>
                <w:szCs w:val="24"/>
              </w:rPr>
            </w:pPr>
            <w:r>
              <w:rPr>
                <w:rFonts w:hint="eastAsia"/>
                <w:sz w:val="24"/>
                <w:szCs w:val="24"/>
              </w:rPr>
              <w:t>阅读网络补充材料，回答问题：How has music helped you or someone you know?</w:t>
            </w:r>
          </w:p>
        </w:tc>
        <w:tc>
          <w:tcPr>
            <w:tcW w:w="2723" w:type="dxa"/>
          </w:tcPr>
          <w:p>
            <w:pPr>
              <w:rPr>
                <w:sz w:val="24"/>
                <w:szCs w:val="24"/>
              </w:rPr>
            </w:pPr>
            <w:r>
              <w:rPr>
                <w:rFonts w:hint="eastAsia"/>
                <w:sz w:val="24"/>
                <w:szCs w:val="24"/>
              </w:rPr>
              <w:t>为了帮助学生仿写，教师需要在内容上给予学生帮助。由于话题内容对于学生较为陌生，因而单纯的小组讨论可能无法为学生提供足够的写作素材和思路。教师通过展示网络资源，既为学生提供写作内容、语言帮助，也向学生传授合理运用网络资源的学习策略，在众多语料的阅读与思考中，深化学生对单元话题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3" w:type="dxa"/>
            <w:vMerge w:val="continue"/>
          </w:tcPr>
          <w:p>
            <w:pPr>
              <w:rPr>
                <w:sz w:val="24"/>
                <w:szCs w:val="24"/>
              </w:rPr>
            </w:pPr>
          </w:p>
        </w:tc>
        <w:tc>
          <w:tcPr>
            <w:tcW w:w="1846" w:type="dxa"/>
          </w:tcPr>
          <w:p>
            <w:pPr>
              <w:rPr>
                <w:sz w:val="24"/>
                <w:szCs w:val="24"/>
              </w:rPr>
            </w:pPr>
            <w:r>
              <w:rPr>
                <w:rFonts w:hint="eastAsia"/>
                <w:sz w:val="24"/>
                <w:szCs w:val="24"/>
              </w:rPr>
              <w:t>Structure</w:t>
            </w:r>
          </w:p>
        </w:tc>
        <w:tc>
          <w:tcPr>
            <w:tcW w:w="2520" w:type="dxa"/>
          </w:tcPr>
          <w:p>
            <w:pPr>
              <w:rPr>
                <w:sz w:val="24"/>
                <w:szCs w:val="24"/>
              </w:rPr>
            </w:pPr>
            <w:r>
              <w:rPr>
                <w:rFonts w:hint="eastAsia"/>
                <w:sz w:val="24"/>
                <w:szCs w:val="24"/>
              </w:rPr>
              <w:t>思考How did Sarah organize her speech，并完成补充配对任务。</w:t>
            </w:r>
          </w:p>
        </w:tc>
        <w:tc>
          <w:tcPr>
            <w:tcW w:w="2723" w:type="dxa"/>
          </w:tcPr>
          <w:p>
            <w:pPr>
              <w:rPr>
                <w:sz w:val="24"/>
                <w:szCs w:val="24"/>
              </w:rPr>
            </w:pPr>
            <w:r>
              <w:rPr>
                <w:rFonts w:hint="eastAsia"/>
                <w:sz w:val="24"/>
                <w:szCs w:val="24"/>
              </w:rPr>
              <w:t>仿写的第二步，学生在有话可说的情况下要学习如何组织自己的篇章，使之符合演讲稿的体裁特征，更有效地传达演讲内容，实现演讲目的。配对任务的选择降低了学生的写前焦虑，有利于学生的迁移创新。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tcPr>
          <w:p>
            <w:pPr>
              <w:rPr>
                <w:sz w:val="24"/>
                <w:szCs w:val="24"/>
              </w:rPr>
            </w:pPr>
          </w:p>
        </w:tc>
        <w:tc>
          <w:tcPr>
            <w:tcW w:w="1846" w:type="dxa"/>
          </w:tcPr>
          <w:p>
            <w:pPr>
              <w:rPr>
                <w:sz w:val="24"/>
                <w:szCs w:val="24"/>
              </w:rPr>
            </w:pPr>
            <w:r>
              <w:rPr>
                <w:rFonts w:hint="eastAsia"/>
                <w:sz w:val="24"/>
                <w:szCs w:val="24"/>
              </w:rPr>
              <w:t>Language</w:t>
            </w:r>
          </w:p>
        </w:tc>
        <w:tc>
          <w:tcPr>
            <w:tcW w:w="2520" w:type="dxa"/>
          </w:tcPr>
          <w:p>
            <w:pPr>
              <w:numPr>
                <w:ilvl w:val="0"/>
                <w:numId w:val="5"/>
              </w:numPr>
              <w:rPr>
                <w:sz w:val="24"/>
                <w:szCs w:val="24"/>
              </w:rPr>
            </w:pPr>
            <w:r>
              <w:rPr>
                <w:rFonts w:hint="eastAsia"/>
                <w:sz w:val="24"/>
                <w:szCs w:val="24"/>
              </w:rPr>
              <w:t>What phrases did Sarah use to describe the power of music?</w:t>
            </w:r>
          </w:p>
          <w:p>
            <w:pPr>
              <w:numPr>
                <w:ilvl w:val="0"/>
                <w:numId w:val="5"/>
              </w:numPr>
              <w:rPr>
                <w:sz w:val="24"/>
                <w:szCs w:val="24"/>
              </w:rPr>
            </w:pPr>
            <w:r>
              <w:rPr>
                <w:rFonts w:hint="eastAsia"/>
                <w:sz w:val="24"/>
                <w:szCs w:val="24"/>
              </w:rPr>
              <w:t>了解修辞手段在演讲钟的作业，并学习6钟修辞手段；</w:t>
            </w:r>
          </w:p>
          <w:p>
            <w:pPr>
              <w:numPr>
                <w:ilvl w:val="0"/>
                <w:numId w:val="5"/>
              </w:numPr>
              <w:rPr>
                <w:sz w:val="24"/>
                <w:szCs w:val="24"/>
              </w:rPr>
            </w:pPr>
            <w:r>
              <w:rPr>
                <w:rFonts w:hint="eastAsia"/>
                <w:sz w:val="24"/>
                <w:szCs w:val="24"/>
              </w:rPr>
              <w:t>完成书本练习：Match the names of rhetorical devices to the lettered sentences in the speech.</w:t>
            </w:r>
          </w:p>
        </w:tc>
        <w:tc>
          <w:tcPr>
            <w:tcW w:w="2723" w:type="dxa"/>
          </w:tcPr>
          <w:p>
            <w:pPr>
              <w:rPr>
                <w:sz w:val="24"/>
                <w:szCs w:val="24"/>
              </w:rPr>
            </w:pPr>
            <w:r>
              <w:rPr>
                <w:rFonts w:hint="eastAsia"/>
                <w:sz w:val="24"/>
                <w:szCs w:val="24"/>
              </w:rPr>
              <w:t>写作需要一定的语言知识，既然输出任务是仿写，阅读篇章的语言就能给学生很大的参考价值。第1个活动可以给学生提供具体的语言支撑；第2、3个活动能帮助学生明确6大修辞手段的定义与具体使用，帮助学生提升自己创作，提高表达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rPr>
                <w:sz w:val="24"/>
                <w:szCs w:val="24"/>
              </w:rPr>
            </w:pPr>
            <w:r>
              <w:rPr>
                <w:rFonts w:hint="eastAsia"/>
                <w:sz w:val="24"/>
                <w:szCs w:val="24"/>
              </w:rPr>
              <w:t xml:space="preserve">Writing </w:t>
            </w:r>
          </w:p>
        </w:tc>
        <w:tc>
          <w:tcPr>
            <w:tcW w:w="1846" w:type="dxa"/>
          </w:tcPr>
          <w:p>
            <w:pPr>
              <w:rPr>
                <w:sz w:val="24"/>
                <w:szCs w:val="24"/>
              </w:rPr>
            </w:pPr>
            <w:r>
              <w:rPr>
                <w:rFonts w:hint="eastAsia"/>
                <w:sz w:val="24"/>
                <w:szCs w:val="24"/>
              </w:rPr>
              <w:t>Create</w:t>
            </w:r>
          </w:p>
        </w:tc>
        <w:tc>
          <w:tcPr>
            <w:tcW w:w="2520" w:type="dxa"/>
          </w:tcPr>
          <w:p>
            <w:pPr>
              <w:rPr>
                <w:sz w:val="24"/>
                <w:szCs w:val="24"/>
              </w:rPr>
            </w:pPr>
            <w:r>
              <w:rPr>
                <w:rFonts w:hint="eastAsia"/>
                <w:sz w:val="24"/>
                <w:szCs w:val="24"/>
              </w:rPr>
              <w:t>基于演讲稿创作模板进行仿写。</w:t>
            </w:r>
          </w:p>
        </w:tc>
        <w:tc>
          <w:tcPr>
            <w:tcW w:w="2723" w:type="dxa"/>
          </w:tcPr>
          <w:p>
            <w:pPr>
              <w:rPr>
                <w:sz w:val="24"/>
                <w:szCs w:val="24"/>
              </w:rPr>
            </w:pPr>
            <w:r>
              <w:rPr>
                <w:rFonts w:hint="eastAsia"/>
                <w:sz w:val="24"/>
                <w:szCs w:val="24"/>
              </w:rPr>
              <w:t>在写前环节，学生们已初步了解演讲稿的结构特征，这一步要求学生运用所学大纲进行写作，给学生结构上的仿写支架。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restart"/>
          </w:tcPr>
          <w:p>
            <w:pPr>
              <w:rPr>
                <w:sz w:val="24"/>
                <w:szCs w:val="24"/>
              </w:rPr>
            </w:pPr>
            <w:r>
              <w:rPr>
                <w:rFonts w:hint="eastAsia"/>
                <w:sz w:val="24"/>
                <w:szCs w:val="24"/>
              </w:rPr>
              <w:t>Post-writing</w:t>
            </w:r>
          </w:p>
        </w:tc>
        <w:tc>
          <w:tcPr>
            <w:tcW w:w="1846" w:type="dxa"/>
          </w:tcPr>
          <w:p>
            <w:pPr>
              <w:rPr>
                <w:sz w:val="24"/>
                <w:szCs w:val="24"/>
              </w:rPr>
            </w:pPr>
            <w:r>
              <w:rPr>
                <w:rFonts w:hint="eastAsia"/>
                <w:sz w:val="24"/>
                <w:szCs w:val="24"/>
              </w:rPr>
              <w:t>Polish</w:t>
            </w:r>
          </w:p>
        </w:tc>
        <w:tc>
          <w:tcPr>
            <w:tcW w:w="2520" w:type="dxa"/>
          </w:tcPr>
          <w:p>
            <w:pPr>
              <w:rPr>
                <w:sz w:val="24"/>
                <w:szCs w:val="24"/>
              </w:rPr>
            </w:pPr>
            <w:r>
              <w:rPr>
                <w:rFonts w:hint="eastAsia"/>
                <w:sz w:val="24"/>
                <w:szCs w:val="24"/>
              </w:rPr>
              <w:t>运用修辞手段润色文章语言。</w:t>
            </w:r>
          </w:p>
        </w:tc>
        <w:tc>
          <w:tcPr>
            <w:tcW w:w="2723" w:type="dxa"/>
          </w:tcPr>
          <w:p>
            <w:pPr>
              <w:rPr>
                <w:sz w:val="24"/>
                <w:szCs w:val="24"/>
              </w:rPr>
            </w:pPr>
            <w:r>
              <w:rPr>
                <w:rFonts w:hint="eastAsia"/>
                <w:sz w:val="24"/>
                <w:szCs w:val="24"/>
              </w:rPr>
              <w:t>演讲稿要求语言有感染力和号召力，学生在写后运用所学的修辞知识润色自己的语言，提高表达的有效性。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tcPr>
          <w:p>
            <w:pPr>
              <w:rPr>
                <w:sz w:val="24"/>
                <w:szCs w:val="24"/>
              </w:rPr>
            </w:pPr>
          </w:p>
        </w:tc>
        <w:tc>
          <w:tcPr>
            <w:tcW w:w="1846" w:type="dxa"/>
          </w:tcPr>
          <w:p>
            <w:pPr>
              <w:rPr>
                <w:sz w:val="24"/>
                <w:szCs w:val="24"/>
              </w:rPr>
            </w:pPr>
            <w:r>
              <w:rPr>
                <w:rFonts w:hint="eastAsia"/>
                <w:sz w:val="24"/>
                <w:szCs w:val="24"/>
              </w:rPr>
              <w:t>Peer edit</w:t>
            </w:r>
          </w:p>
        </w:tc>
        <w:tc>
          <w:tcPr>
            <w:tcW w:w="2520" w:type="dxa"/>
          </w:tcPr>
          <w:p>
            <w:pPr>
              <w:rPr>
                <w:sz w:val="24"/>
                <w:szCs w:val="24"/>
              </w:rPr>
            </w:pPr>
            <w:r>
              <w:rPr>
                <w:rFonts w:hint="eastAsia"/>
                <w:sz w:val="24"/>
                <w:szCs w:val="24"/>
              </w:rPr>
              <w:t>利用写作自评表，进行同伴互评。</w:t>
            </w:r>
          </w:p>
        </w:tc>
        <w:tc>
          <w:tcPr>
            <w:tcW w:w="2723" w:type="dxa"/>
          </w:tcPr>
          <w:p>
            <w:pPr>
              <w:rPr>
                <w:sz w:val="24"/>
                <w:szCs w:val="24"/>
              </w:rPr>
            </w:pPr>
            <w:r>
              <w:rPr>
                <w:rFonts w:hint="eastAsia"/>
                <w:sz w:val="24"/>
                <w:szCs w:val="24"/>
              </w:rPr>
              <w:t>写后的同伴互评能够在分享中使写作任务更加真实，同时，在修改同伴的写作过程中，能帮助学生了解评分标准。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tcPr>
          <w:p>
            <w:pPr>
              <w:rPr>
                <w:sz w:val="24"/>
                <w:szCs w:val="24"/>
              </w:rPr>
            </w:pPr>
          </w:p>
        </w:tc>
        <w:tc>
          <w:tcPr>
            <w:tcW w:w="1846" w:type="dxa"/>
          </w:tcPr>
          <w:p>
            <w:pPr>
              <w:rPr>
                <w:sz w:val="24"/>
                <w:szCs w:val="24"/>
              </w:rPr>
            </w:pPr>
            <w:r>
              <w:rPr>
                <w:rFonts w:hint="eastAsia"/>
                <w:sz w:val="24"/>
                <w:szCs w:val="24"/>
              </w:rPr>
              <w:t>Share</w:t>
            </w:r>
          </w:p>
        </w:tc>
        <w:tc>
          <w:tcPr>
            <w:tcW w:w="2520" w:type="dxa"/>
          </w:tcPr>
          <w:p>
            <w:pPr>
              <w:rPr>
                <w:sz w:val="24"/>
                <w:szCs w:val="24"/>
              </w:rPr>
            </w:pPr>
            <w:r>
              <w:rPr>
                <w:rFonts w:hint="eastAsia"/>
                <w:sz w:val="24"/>
                <w:szCs w:val="24"/>
              </w:rPr>
              <w:t>演讲</w:t>
            </w:r>
          </w:p>
        </w:tc>
        <w:tc>
          <w:tcPr>
            <w:tcW w:w="2723" w:type="dxa"/>
          </w:tcPr>
          <w:p>
            <w:pPr>
              <w:rPr>
                <w:sz w:val="24"/>
                <w:szCs w:val="24"/>
              </w:rPr>
            </w:pPr>
            <w:r>
              <w:rPr>
                <w:rFonts w:hint="eastAsia"/>
                <w:sz w:val="24"/>
                <w:szCs w:val="24"/>
              </w:rPr>
              <w:t>学生在班里演讲自己的写作成果，既使写作任务更加真实，也能锻炼学生的自信心，在分享中促进写作能力提高。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tcPr>
          <w:p>
            <w:pPr>
              <w:rPr>
                <w:sz w:val="24"/>
                <w:szCs w:val="24"/>
              </w:rPr>
            </w:pPr>
          </w:p>
        </w:tc>
        <w:tc>
          <w:tcPr>
            <w:tcW w:w="1846" w:type="dxa"/>
          </w:tcPr>
          <w:p>
            <w:pPr>
              <w:rPr>
                <w:sz w:val="24"/>
                <w:szCs w:val="24"/>
              </w:rPr>
            </w:pPr>
            <w:r>
              <w:rPr>
                <w:rFonts w:hint="eastAsia"/>
                <w:sz w:val="24"/>
                <w:szCs w:val="24"/>
              </w:rPr>
              <w:t>Sample writing</w:t>
            </w:r>
          </w:p>
        </w:tc>
        <w:tc>
          <w:tcPr>
            <w:tcW w:w="2520" w:type="dxa"/>
          </w:tcPr>
          <w:p>
            <w:pPr>
              <w:rPr>
                <w:sz w:val="24"/>
                <w:szCs w:val="24"/>
              </w:rPr>
            </w:pPr>
            <w:r>
              <w:rPr>
                <w:rFonts w:hint="eastAsia"/>
                <w:sz w:val="24"/>
                <w:szCs w:val="24"/>
              </w:rPr>
              <w:t>阅读、分析、借鉴范文</w:t>
            </w:r>
          </w:p>
        </w:tc>
        <w:tc>
          <w:tcPr>
            <w:tcW w:w="2723" w:type="dxa"/>
          </w:tcPr>
          <w:p>
            <w:pPr>
              <w:rPr>
                <w:sz w:val="24"/>
                <w:szCs w:val="24"/>
              </w:rPr>
            </w:pPr>
            <w:r>
              <w:rPr>
                <w:rFonts w:hint="eastAsia"/>
                <w:sz w:val="24"/>
                <w:szCs w:val="24"/>
              </w:rPr>
              <w:t>范文的提供能给学生额外的高效输入，有利于学生进一步改进自己的写作。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tcPr>
          <w:p>
            <w:pPr>
              <w:rPr>
                <w:sz w:val="24"/>
                <w:szCs w:val="24"/>
              </w:rPr>
            </w:pPr>
          </w:p>
        </w:tc>
        <w:tc>
          <w:tcPr>
            <w:tcW w:w="1846" w:type="dxa"/>
          </w:tcPr>
          <w:p>
            <w:pPr>
              <w:rPr>
                <w:sz w:val="24"/>
                <w:szCs w:val="24"/>
              </w:rPr>
            </w:pPr>
            <w:r>
              <w:rPr>
                <w:rFonts w:hint="eastAsia"/>
                <w:sz w:val="24"/>
                <w:szCs w:val="24"/>
              </w:rPr>
              <w:t>Homework</w:t>
            </w:r>
          </w:p>
        </w:tc>
        <w:tc>
          <w:tcPr>
            <w:tcW w:w="2520" w:type="dxa"/>
          </w:tcPr>
          <w:p>
            <w:pPr>
              <w:numPr>
                <w:ilvl w:val="0"/>
                <w:numId w:val="6"/>
              </w:numPr>
              <w:rPr>
                <w:sz w:val="24"/>
                <w:szCs w:val="24"/>
              </w:rPr>
            </w:pPr>
            <w:r>
              <w:rPr>
                <w:rFonts w:hint="eastAsia"/>
                <w:sz w:val="24"/>
                <w:szCs w:val="24"/>
              </w:rPr>
              <w:t>Continue revising your speech and make it ready to be delivered/shared.</w:t>
            </w:r>
          </w:p>
          <w:p>
            <w:pPr>
              <w:numPr>
                <w:ilvl w:val="0"/>
                <w:numId w:val="6"/>
              </w:numPr>
              <w:rPr>
                <w:sz w:val="24"/>
                <w:szCs w:val="24"/>
              </w:rPr>
            </w:pPr>
            <w:r>
              <w:rPr>
                <w:rFonts w:hint="eastAsia"/>
                <w:sz w:val="24"/>
                <w:szCs w:val="24"/>
              </w:rPr>
              <w:t>Browse TED speech website (https://www.ted.com/) and further explore music therapy (音乐疗法).</w:t>
            </w:r>
          </w:p>
          <w:p>
            <w:pPr>
              <w:rPr>
                <w:sz w:val="24"/>
                <w:szCs w:val="24"/>
              </w:rPr>
            </w:pPr>
          </w:p>
        </w:tc>
        <w:tc>
          <w:tcPr>
            <w:tcW w:w="2723" w:type="dxa"/>
          </w:tcPr>
          <w:p>
            <w:pPr>
              <w:rPr>
                <w:sz w:val="24"/>
                <w:szCs w:val="24"/>
              </w:rPr>
            </w:pPr>
            <w:r>
              <w:rPr>
                <w:rFonts w:hint="eastAsia"/>
                <w:sz w:val="24"/>
                <w:szCs w:val="24"/>
              </w:rPr>
              <w:t>作业在让学生进一步修改自己的写作外，还要求学生借助网络资源深化对单元主题的认识。</w:t>
            </w:r>
          </w:p>
        </w:tc>
      </w:tr>
    </w:tbl>
    <w:p>
      <w:pPr>
        <w:snapToGrid w:val="0"/>
        <w:rPr>
          <w:rFonts w:ascii="华文仿宋" w:hAnsi="华文仿宋" w:eastAsia="华文仿宋"/>
          <w:b/>
          <w:bCs/>
          <w:sz w:val="24"/>
          <w:szCs w:val="24"/>
        </w:rPr>
      </w:pPr>
    </w:p>
    <w:p>
      <w:pPr>
        <w:numPr>
          <w:ilvl w:val="0"/>
          <w:numId w:val="1"/>
        </w:numPr>
        <w:rPr>
          <w:b/>
          <w:bCs/>
          <w:sz w:val="24"/>
          <w:szCs w:val="24"/>
        </w:rPr>
      </w:pPr>
      <w:r>
        <w:rPr>
          <w:rFonts w:hint="eastAsia"/>
          <w:b/>
          <w:bCs/>
          <w:sz w:val="24"/>
          <w:szCs w:val="24"/>
        </w:rPr>
        <w:t>教学媒体</w:t>
      </w:r>
    </w:p>
    <w:p>
      <w:pPr>
        <w:rPr>
          <w:sz w:val="24"/>
          <w:szCs w:val="24"/>
        </w:rPr>
      </w:pPr>
      <w:r>
        <w:rPr>
          <w:rFonts w:hint="eastAsia"/>
          <w:sz w:val="24"/>
          <w:szCs w:val="24"/>
        </w:rPr>
        <w:t>希沃智慧平板课堂</w:t>
      </w:r>
    </w:p>
    <w:p>
      <w:pPr>
        <w:snapToGrid w:val="0"/>
        <w:rPr>
          <w:rFonts w:ascii="华文仿宋" w:hAnsi="华文仿宋" w:eastAsia="华文仿宋"/>
          <w:b/>
          <w:bCs/>
          <w:sz w:val="24"/>
          <w:szCs w:val="24"/>
        </w:rPr>
      </w:pPr>
    </w:p>
    <w:p>
      <w:pPr>
        <w:rPr>
          <w:rFonts w:ascii="华文仿宋" w:hAnsi="华文仿宋" w:eastAsia="华文仿宋"/>
          <w:sz w:val="24"/>
          <w:szCs w:val="24"/>
        </w:rPr>
      </w:pPr>
    </w:p>
    <w:p>
      <w:pPr>
        <w:snapToGrid w:val="0"/>
        <w:rPr>
          <w:rFonts w:ascii="黑体" w:hAnsi="黑体" w:eastAsia="黑体"/>
          <w:sz w:val="24"/>
          <w:szCs w:val="24"/>
        </w:rPr>
      </w:pPr>
      <w:r>
        <w:rPr>
          <w:rFonts w:hint="eastAsia" w:ascii="黑体" w:hAnsi="黑体" w:eastAsia="黑体"/>
          <w:sz w:val="28"/>
          <w:szCs w:val="28"/>
        </w:rPr>
        <w:t>三、成效与反思</w:t>
      </w:r>
    </w:p>
    <w:p>
      <w:pPr>
        <w:ind w:firstLine="420"/>
        <w:rPr>
          <w:sz w:val="24"/>
          <w:szCs w:val="24"/>
        </w:rPr>
      </w:pPr>
      <w:r>
        <w:rPr>
          <w:rFonts w:hint="eastAsia"/>
          <w:sz w:val="24"/>
          <w:szCs w:val="24"/>
        </w:rPr>
        <w:t>本课例实践新课标六要素整合的英语课程理念，在充分挖掘语篇特征、学生学情的前提下，为学生搭建充足有效的脚手架，帮助学生仿写，深化学生对单元主题语境的认识，从学生的课堂反馈、写作成果均可以看出，课堂目标基本达成。</w:t>
      </w:r>
    </w:p>
    <w:p>
      <w:pPr>
        <w:snapToGrid w:val="0"/>
        <w:rPr>
          <w:rFonts w:ascii="黑体" w:hAnsi="黑体" w:eastAsia="黑体"/>
          <w:sz w:val="24"/>
          <w:szCs w:val="24"/>
        </w:rPr>
      </w:pPr>
    </w:p>
    <w:p>
      <w:pPr>
        <w:snapToGrid w:val="0"/>
        <w:rPr>
          <w:rFonts w:ascii="黑体" w:hAnsi="黑体" w:eastAsia="黑体"/>
          <w:sz w:val="28"/>
          <w:szCs w:val="28"/>
        </w:rPr>
      </w:pPr>
      <w:r>
        <w:rPr>
          <w:rFonts w:hint="eastAsia" w:ascii="黑体" w:hAnsi="黑体" w:eastAsia="黑体"/>
          <w:sz w:val="28"/>
          <w:szCs w:val="28"/>
        </w:rPr>
        <w:t>四、作者简介</w:t>
      </w:r>
    </w:p>
    <w:p>
      <w:pPr>
        <w:ind w:firstLine="480" w:firstLineChars="200"/>
        <w:rPr>
          <w:rFonts w:asciiTheme="minorEastAsia" w:hAnsiTheme="minorEastAsia"/>
          <w:sz w:val="24"/>
          <w:szCs w:val="24"/>
        </w:rPr>
      </w:pPr>
      <w:r>
        <w:rPr>
          <w:rFonts w:hint="eastAsia" w:asciiTheme="minorEastAsia" w:hAnsiTheme="minorEastAsia"/>
          <w:sz w:val="24"/>
          <w:szCs w:val="24"/>
        </w:rPr>
        <w:t>吴嘉慧，本科就读华南师范大学英语师范专业，硕士就读中山大学外国语言学及应用语言学专业，于广东广雅中学就职，教龄</w:t>
      </w:r>
      <w:r>
        <w:rPr>
          <w:rFonts w:asciiTheme="minorEastAsia" w:hAnsiTheme="minorEastAsia"/>
          <w:sz w:val="24"/>
          <w:szCs w:val="24"/>
        </w:rPr>
        <w:t>3年。初高中教学经验</w:t>
      </w:r>
      <w:r>
        <w:rPr>
          <w:rFonts w:hint="eastAsia" w:asciiTheme="minorEastAsia" w:hAnsiTheme="minorEastAsia"/>
          <w:sz w:val="24"/>
          <w:szCs w:val="24"/>
        </w:rPr>
        <w:t>丰富</w:t>
      </w:r>
      <w:r>
        <w:rPr>
          <w:rFonts w:asciiTheme="minorEastAsia" w:hAnsiTheme="minorEastAsia"/>
          <w:sz w:val="24"/>
          <w:szCs w:val="24"/>
        </w:rPr>
        <w:t>，教学成绩优秀，多次获得校级、市级、省级、国家级奖项，多次承担校级、跨市公开课，广受好评。</w:t>
      </w:r>
    </w:p>
    <w:p>
      <w:pPr>
        <w:snapToGrid w:val="0"/>
        <w:rPr>
          <w:rFonts w:ascii="黑体" w:hAnsi="黑体" w:eastAsia="黑体"/>
          <w:sz w:val="24"/>
          <w:szCs w:val="24"/>
        </w:rPr>
      </w:pPr>
    </w:p>
    <w:p>
      <w:pPr>
        <w:snapToGrid w:val="0"/>
        <w:rPr>
          <w:rFonts w:hint="eastAsia" w:ascii="黑体" w:hAnsi="黑体" w:eastAsia="黑体"/>
          <w:sz w:val="28"/>
          <w:szCs w:val="28"/>
        </w:rPr>
      </w:pPr>
      <w:r>
        <w:rPr>
          <w:rFonts w:hint="eastAsia" w:ascii="黑体" w:hAnsi="黑体" w:eastAsia="黑体"/>
          <w:sz w:val="28"/>
          <w:szCs w:val="28"/>
        </w:rPr>
        <w:t>五、专家点评</w:t>
      </w:r>
    </w:p>
    <w:p>
      <w:pPr>
        <w:rPr>
          <w:rFonts w:hint="eastAsia" w:asciiTheme="minorEastAsia" w:hAnsiTheme="minorEastAsia"/>
          <w:sz w:val="24"/>
          <w:szCs w:val="24"/>
        </w:rPr>
      </w:pPr>
      <w:r>
        <w:rPr>
          <w:rFonts w:hint="eastAsia" w:ascii="黑体" w:hAnsi="黑体" w:eastAsia="黑体"/>
          <w:color w:val="FF0000"/>
          <w:sz w:val="24"/>
          <w:szCs w:val="24"/>
        </w:rPr>
        <w:t xml:space="preserve"> </w:t>
      </w:r>
      <w:r>
        <w:rPr>
          <w:rFonts w:ascii="黑体" w:hAnsi="黑体" w:eastAsia="黑体"/>
          <w:color w:val="FF0000"/>
          <w:sz w:val="24"/>
          <w:szCs w:val="24"/>
        </w:rPr>
        <w:t xml:space="preserve">   </w:t>
      </w:r>
      <w:r>
        <w:rPr>
          <w:rFonts w:hint="eastAsia" w:asciiTheme="minorEastAsia" w:hAnsiTheme="minorEastAsia"/>
          <w:sz w:val="24"/>
          <w:szCs w:val="24"/>
        </w:rPr>
        <w:t>从六要素整合的英语学习活动观出发，引导学生在主题意义引领下，通过学习理解、应用实践、迁移创新，促进自身的语言知识学习、语言技能发展、文化内涵理解、多元思维发展、价值取向判断和学习策略运用。整堂课的教学设计同时关注教学评一体化，评价方式多样，关注学生的内容结构和语言特点，读写结合的教学，关注对学生阅读的评价，老师从语言、结构、内容等方面进行评价，具有针对性，呼应教学目标。采用词汇云图进行文章预测的方式培养学生的思维能力，能够加深学生对语篇的理解。采用“以读促写”的方式，非常的巧妙，在六要素整合的理念下引导学生对语篇深层次的思考，整体教学效果良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AFAD"/>
    <w:multiLevelType w:val="singleLevel"/>
    <w:tmpl w:val="0025AFAD"/>
    <w:lvl w:ilvl="0" w:tentative="0">
      <w:start w:val="1"/>
      <w:numFmt w:val="decimal"/>
      <w:suff w:val="space"/>
      <w:lvlText w:val="%1."/>
      <w:lvlJc w:val="left"/>
    </w:lvl>
  </w:abstractNum>
  <w:abstractNum w:abstractNumId="1">
    <w:nsid w:val="3B646E2E"/>
    <w:multiLevelType w:val="singleLevel"/>
    <w:tmpl w:val="3B646E2E"/>
    <w:lvl w:ilvl="0" w:tentative="0">
      <w:start w:val="1"/>
      <w:numFmt w:val="decimal"/>
      <w:suff w:val="space"/>
      <w:lvlText w:val="%1."/>
      <w:lvlJc w:val="left"/>
    </w:lvl>
  </w:abstractNum>
  <w:abstractNum w:abstractNumId="2">
    <w:nsid w:val="4795CCAC"/>
    <w:multiLevelType w:val="singleLevel"/>
    <w:tmpl w:val="4795CCAC"/>
    <w:lvl w:ilvl="0" w:tentative="0">
      <w:start w:val="1"/>
      <w:numFmt w:val="decimal"/>
      <w:suff w:val="space"/>
      <w:lvlText w:val="%1."/>
      <w:lvlJc w:val="left"/>
    </w:lvl>
  </w:abstractNum>
  <w:abstractNum w:abstractNumId="3">
    <w:nsid w:val="6EB422DB"/>
    <w:multiLevelType w:val="singleLevel"/>
    <w:tmpl w:val="6EB422DB"/>
    <w:lvl w:ilvl="0" w:tentative="0">
      <w:start w:val="1"/>
      <w:numFmt w:val="decimal"/>
      <w:suff w:val="space"/>
      <w:lvlText w:val="%1."/>
      <w:lvlJc w:val="left"/>
    </w:lvl>
  </w:abstractNum>
  <w:abstractNum w:abstractNumId="4">
    <w:nsid w:val="6FBB1DDF"/>
    <w:multiLevelType w:val="multilevel"/>
    <w:tmpl w:val="6FBB1DD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47C8120"/>
    <w:multiLevelType w:val="singleLevel"/>
    <w:tmpl w:val="747C8120"/>
    <w:lvl w:ilvl="0" w:tentative="0">
      <w:start w:val="1"/>
      <w:numFmt w:val="decimal"/>
      <w:suff w:val="space"/>
      <w:lvlText w:val="%1."/>
      <w:lvlJc w:val="left"/>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E03"/>
    <w:rsid w:val="00000720"/>
    <w:rsid w:val="00023A37"/>
    <w:rsid w:val="00051AFD"/>
    <w:rsid w:val="000648FC"/>
    <w:rsid w:val="00092191"/>
    <w:rsid w:val="000A5BF1"/>
    <w:rsid w:val="001E2BC3"/>
    <w:rsid w:val="002648D5"/>
    <w:rsid w:val="0027290C"/>
    <w:rsid w:val="002B1E03"/>
    <w:rsid w:val="002E15D9"/>
    <w:rsid w:val="003352A8"/>
    <w:rsid w:val="003936C6"/>
    <w:rsid w:val="003A48CC"/>
    <w:rsid w:val="003C2F85"/>
    <w:rsid w:val="00436457"/>
    <w:rsid w:val="00496157"/>
    <w:rsid w:val="004E2500"/>
    <w:rsid w:val="00530E98"/>
    <w:rsid w:val="005714F5"/>
    <w:rsid w:val="00571990"/>
    <w:rsid w:val="00613413"/>
    <w:rsid w:val="00651E43"/>
    <w:rsid w:val="006545F6"/>
    <w:rsid w:val="0065485C"/>
    <w:rsid w:val="0079485C"/>
    <w:rsid w:val="007B4222"/>
    <w:rsid w:val="007B6EDA"/>
    <w:rsid w:val="007C2829"/>
    <w:rsid w:val="00831D25"/>
    <w:rsid w:val="00837A8F"/>
    <w:rsid w:val="00883E13"/>
    <w:rsid w:val="00921B19"/>
    <w:rsid w:val="0092379D"/>
    <w:rsid w:val="00931B1D"/>
    <w:rsid w:val="009707E5"/>
    <w:rsid w:val="009D6676"/>
    <w:rsid w:val="00A376D9"/>
    <w:rsid w:val="00A41296"/>
    <w:rsid w:val="00A456BF"/>
    <w:rsid w:val="00A56877"/>
    <w:rsid w:val="00A80A09"/>
    <w:rsid w:val="00A97428"/>
    <w:rsid w:val="00B11CA9"/>
    <w:rsid w:val="00BE16C9"/>
    <w:rsid w:val="00BE3153"/>
    <w:rsid w:val="00C050EE"/>
    <w:rsid w:val="00C12018"/>
    <w:rsid w:val="00C63153"/>
    <w:rsid w:val="00C71351"/>
    <w:rsid w:val="00C718DC"/>
    <w:rsid w:val="00C801A3"/>
    <w:rsid w:val="00C9498B"/>
    <w:rsid w:val="00D5622F"/>
    <w:rsid w:val="00DA53D0"/>
    <w:rsid w:val="00DB7CC6"/>
    <w:rsid w:val="00DE4BC6"/>
    <w:rsid w:val="00EB42D6"/>
    <w:rsid w:val="00EE615C"/>
    <w:rsid w:val="00EF2A63"/>
    <w:rsid w:val="00F63D23"/>
    <w:rsid w:val="00FD5695"/>
    <w:rsid w:val="01640CAE"/>
    <w:rsid w:val="048523C6"/>
    <w:rsid w:val="0A455BC2"/>
    <w:rsid w:val="0BE94C07"/>
    <w:rsid w:val="0C8D3D27"/>
    <w:rsid w:val="0CC21C23"/>
    <w:rsid w:val="128C53DA"/>
    <w:rsid w:val="17FB4085"/>
    <w:rsid w:val="184C17EB"/>
    <w:rsid w:val="1C7C3B1B"/>
    <w:rsid w:val="1CEB43B4"/>
    <w:rsid w:val="202634BB"/>
    <w:rsid w:val="2622053D"/>
    <w:rsid w:val="26B82911"/>
    <w:rsid w:val="27AF0F77"/>
    <w:rsid w:val="2BA5602F"/>
    <w:rsid w:val="2CC563DD"/>
    <w:rsid w:val="36ED3F7B"/>
    <w:rsid w:val="3C244824"/>
    <w:rsid w:val="454A67B9"/>
    <w:rsid w:val="45BA7F4E"/>
    <w:rsid w:val="46C21209"/>
    <w:rsid w:val="49653196"/>
    <w:rsid w:val="4D7547D8"/>
    <w:rsid w:val="50ED5E98"/>
    <w:rsid w:val="51543986"/>
    <w:rsid w:val="52441C7C"/>
    <w:rsid w:val="55922475"/>
    <w:rsid w:val="5A7D065F"/>
    <w:rsid w:val="5D5B18EA"/>
    <w:rsid w:val="5E871EEA"/>
    <w:rsid w:val="66FF44F2"/>
    <w:rsid w:val="68E11B03"/>
    <w:rsid w:val="6BD74568"/>
    <w:rsid w:val="7B472EAE"/>
    <w:rsid w:val="7E9C6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spacing w:before="76"/>
      <w:ind w:left="192"/>
    </w:pPr>
    <w:rPr>
      <w:rFonts w:ascii="宋体" w:hAnsi="宋体" w:eastAsia="宋体" w:cs="宋体"/>
      <w:szCs w:val="21"/>
      <w:lang w:eastAsia="en-US" w:bidi="en-US"/>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标题 1 字符"/>
    <w:basedOn w:val="8"/>
    <w:link w:val="2"/>
    <w:qFormat/>
    <w:uiPriority w:val="9"/>
    <w:rPr>
      <w:b/>
      <w:bCs/>
      <w:kern w:val="44"/>
      <w:sz w:val="44"/>
      <w:szCs w:val="44"/>
    </w:rPr>
  </w:style>
  <w:style w:type="paragraph" w:customStyle="1" w:styleId="14">
    <w:name w:val="Other|1"/>
    <w:basedOn w:val="1"/>
    <w:qFormat/>
    <w:uiPriority w:val="0"/>
    <w:rPr>
      <w:sz w:val="20"/>
      <w:szCs w:val="20"/>
    </w:rPr>
  </w:style>
  <w:style w:type="character" w:customStyle="1" w:styleId="15">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751</Words>
  <Characters>4287</Characters>
  <Lines>35</Lines>
  <Paragraphs>10</Paragraphs>
  <TotalTime>248</TotalTime>
  <ScaleCrop>false</ScaleCrop>
  <LinksUpToDate>false</LinksUpToDate>
  <CharactersWithSpaces>5028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2021-05-14T01:50:00Z</dcterms:created>
  <dc:creator>dell</dc:creator>
  <cp:lastModifiedBy>cogamng</cp:lastModifiedBy>
  <dcterms:modified xsi:type="dcterms:W3CDTF">2021-07-20T07:16:32Z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