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cs="华文中宋"/>
          <w:b/>
          <w:bCs/>
          <w:color w:val="000000" w:themeColor="text1"/>
          <w:sz w:val="32"/>
          <w:szCs w:val="40"/>
          <w14:textFill>
            <w14:solidFill>
              <w14:schemeClr w14:val="tx1"/>
            </w14:solidFill>
          </w14:textFill>
        </w:rPr>
      </w:pPr>
      <w:r>
        <w:rPr>
          <w:rFonts w:hint="eastAsia" w:ascii="华文中宋" w:hAnsi="华文中宋" w:eastAsia="华文中宋" w:cs="华文中宋"/>
          <w:b/>
          <w:bCs/>
          <w:sz w:val="32"/>
          <w:szCs w:val="40"/>
        </w:rPr>
        <w:t>《中国特色社会主义</w:t>
      </w:r>
      <w:r>
        <w:rPr>
          <w:rFonts w:hint="eastAsia" w:ascii="华文中宋" w:hAnsi="华文中宋" w:eastAsia="华文中宋" w:cs="华文中宋"/>
          <w:b/>
          <w:bCs/>
          <w:color w:val="000000" w:themeColor="text1"/>
          <w:sz w:val="32"/>
          <w:szCs w:val="40"/>
          <w14:textFill>
            <w14:solidFill>
              <w14:schemeClr w14:val="tx1"/>
            </w14:solidFill>
          </w14:textFill>
        </w:rPr>
        <w:t>进入新时代》</w:t>
      </w:r>
    </w:p>
    <w:p>
      <w:pPr>
        <w:spacing w:line="360" w:lineRule="auto"/>
        <w:jc w:val="center"/>
        <w:rPr>
          <w:rFonts w:ascii="宋体" w:hAnsi="宋体" w:eastAsia="宋体" w:cs="宋体"/>
          <w:b/>
          <w:bCs/>
          <w:color w:val="000000" w:themeColor="text1"/>
          <w:sz w:val="24"/>
          <w:szCs w:val="32"/>
          <w14:textFill>
            <w14:solidFill>
              <w14:schemeClr w14:val="tx1"/>
            </w14:solidFill>
          </w14:textFill>
        </w:rPr>
      </w:pPr>
      <w:r>
        <w:fldChar w:fldCharType="begin"/>
      </w:r>
      <w:r>
        <w:instrText xml:space="preserve"> HYPERLINK "mailto:（广州市第二中学，廖浩生，13503023611,1054263894@qq.com）" </w:instrText>
      </w:r>
      <w:r>
        <w:fldChar w:fldCharType="separate"/>
      </w:r>
      <w:r>
        <w:rPr>
          <w:rStyle w:val="8"/>
          <w:rFonts w:hint="eastAsia" w:ascii="宋体" w:hAnsi="宋体" w:eastAsia="宋体" w:cs="宋体"/>
          <w:b/>
          <w:bCs/>
          <w:color w:val="000000" w:themeColor="text1"/>
          <w:sz w:val="24"/>
          <w:szCs w:val="32"/>
          <w:u w:val="none"/>
          <w14:textFill>
            <w14:solidFill>
              <w14:schemeClr w14:val="tx1"/>
            </w14:solidFill>
          </w14:textFill>
        </w:rPr>
        <w:t>（广州市第二中学，廖浩生</w:t>
      </w:r>
      <w:bookmarkStart w:id="0" w:name="_GoBack"/>
      <w:bookmarkEnd w:id="0"/>
      <w:r>
        <w:rPr>
          <w:rStyle w:val="8"/>
          <w:rFonts w:hint="eastAsia" w:ascii="宋体" w:hAnsi="宋体" w:eastAsia="宋体" w:cs="宋体"/>
          <w:b/>
          <w:bCs/>
          <w:color w:val="000000" w:themeColor="text1"/>
          <w:sz w:val="24"/>
          <w:szCs w:val="32"/>
          <w:u w:val="none"/>
          <w14:textFill>
            <w14:solidFill>
              <w14:schemeClr w14:val="tx1"/>
            </w14:solidFill>
          </w14:textFill>
        </w:rPr>
        <w:t>）</w:t>
      </w:r>
      <w:r>
        <w:rPr>
          <w:rStyle w:val="8"/>
          <w:rFonts w:hint="eastAsia" w:ascii="宋体" w:hAnsi="宋体" w:eastAsia="宋体" w:cs="宋体"/>
          <w:b/>
          <w:bCs/>
          <w:color w:val="000000" w:themeColor="text1"/>
          <w:sz w:val="24"/>
          <w:szCs w:val="32"/>
          <w:u w:val="none"/>
          <w14:textFill>
            <w14:solidFill>
              <w14:schemeClr w14:val="tx1"/>
            </w14:solidFill>
          </w14:textFill>
        </w:rPr>
        <w:fldChar w:fldCharType="end"/>
      </w:r>
    </w:p>
    <w:p>
      <w:pPr>
        <w:spacing w:line="360" w:lineRule="auto"/>
        <w:jc w:val="center"/>
        <w:rPr>
          <w:rFonts w:ascii="宋体" w:hAnsi="宋体" w:eastAsia="宋体" w:cs="宋体"/>
          <w:b/>
          <w:bCs/>
          <w:color w:val="000000" w:themeColor="text1"/>
          <w:sz w:val="24"/>
          <w:szCs w:val="32"/>
          <w14:textFill>
            <w14:solidFill>
              <w14:schemeClr w14:val="tx1"/>
            </w14:solidFill>
          </w14:textFill>
        </w:rPr>
      </w:pPr>
    </w:p>
    <w:p>
      <w:pPr>
        <w:spacing w:line="360" w:lineRule="auto"/>
        <w:jc w:val="left"/>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作者简介：</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廖浩生，中共党员，毕业于华南师范大学思想政治教育专业，现任广州市第二中学高中部政治教师、学校捭阖辩论社指导老师，曾获广东省师范生教学技能大赛二等奖、广东实验中学与广州二中同课异构比赛一等奖等奖项。</w:t>
      </w:r>
    </w:p>
    <w:p>
      <w:pPr>
        <w:numPr>
          <w:ilvl w:val="0"/>
          <w:numId w:val="1"/>
        </w:numPr>
        <w:spacing w:line="360" w:lineRule="auto"/>
        <w:jc w:val="left"/>
        <w:rPr>
          <w:rFonts w:ascii="宋体" w:hAnsi="宋体" w:eastAsia="宋体" w:cs="宋体"/>
          <w:b/>
          <w:bCs/>
          <w:sz w:val="28"/>
          <w:szCs w:val="28"/>
        </w:rPr>
      </w:pPr>
      <w:r>
        <w:rPr>
          <w:rFonts w:hint="eastAsia" w:ascii="宋体" w:hAnsi="宋体" w:eastAsia="宋体" w:cs="宋体"/>
          <w:b/>
          <w:bCs/>
          <w:sz w:val="28"/>
          <w:szCs w:val="28"/>
        </w:rPr>
        <w:t>案例简介</w:t>
      </w:r>
    </w:p>
    <w:p>
      <w:pPr>
        <w:spacing w:line="360" w:lineRule="auto"/>
        <w:ind w:firstLine="480" w:firstLineChars="200"/>
        <w:rPr>
          <w:rFonts w:asciiTheme="minorEastAsia" w:hAnsiTheme="minorEastAsia" w:cstheme="minorEastAsia"/>
          <w:sz w:val="24"/>
          <w:szCs w:val="32"/>
        </w:rPr>
      </w:pPr>
      <w:r>
        <w:rPr>
          <w:rFonts w:hint="eastAsia"/>
          <w:sz w:val="24"/>
          <w:szCs w:val="32"/>
        </w:rPr>
        <w:t>本课例为《中国特色社会主义进入新时代》新授课，授课对象是高一年级学生。</w:t>
      </w:r>
      <w:r>
        <w:rPr>
          <w:rFonts w:hint="eastAsia" w:asciiTheme="minorEastAsia" w:hAnsiTheme="minorEastAsia" w:cstheme="minorEastAsia"/>
          <w:sz w:val="24"/>
          <w:szCs w:val="32"/>
        </w:rPr>
        <w:t>本课教学依据《普通高中思想政治课程标准（2017年版2020年修订）》相关精神，以学生为主体、教师为主导、活动为载体、议题为纽带、核心素养为归宿，开展议题式教学，并以“新时代”为课堂明线，以“脱贫攻坚”为课堂暗线，设置三个分议题——“感悟新时代”、“解读新时代”、“奋斗新时代”，实现“课程内容活动化”“活动内容课程化”，促使学生通过活动探究议题，突出学生的主动性与生成性，构建高效的政治课堂。</w:t>
      </w:r>
    </w:p>
    <w:p>
      <w:pPr>
        <w:spacing w:line="360" w:lineRule="auto"/>
        <w:jc w:val="left"/>
        <w:rPr>
          <w:rFonts w:ascii="宋体" w:hAnsi="宋体" w:eastAsia="宋体" w:cs="宋体"/>
          <w:b/>
          <w:bCs/>
          <w:sz w:val="28"/>
          <w:szCs w:val="28"/>
        </w:rPr>
      </w:pPr>
      <w:r>
        <w:rPr>
          <w:rFonts w:hint="eastAsia" w:ascii="宋体" w:hAnsi="宋体" w:eastAsia="宋体" w:cs="宋体"/>
          <w:b/>
          <w:bCs/>
          <w:sz w:val="28"/>
          <w:szCs w:val="28"/>
        </w:rPr>
        <w:t>二、教学设计</w:t>
      </w:r>
    </w:p>
    <w:p>
      <w:pPr>
        <w:numPr>
          <w:ilvl w:val="0"/>
          <w:numId w:val="2"/>
        </w:numPr>
        <w:spacing w:line="360" w:lineRule="auto"/>
        <w:jc w:val="left"/>
        <w:rPr>
          <w:b/>
          <w:bCs/>
          <w:sz w:val="24"/>
          <w:szCs w:val="32"/>
        </w:rPr>
      </w:pPr>
      <w:r>
        <w:rPr>
          <w:rFonts w:hint="eastAsia" w:ascii="宋体" w:hAnsi="宋体" w:eastAsia="宋体" w:cs="宋体"/>
          <w:b/>
          <w:bCs/>
          <w:sz w:val="24"/>
        </w:rPr>
        <w:t>教学目标</w:t>
      </w:r>
    </w:p>
    <w:p>
      <w:pPr>
        <w:spacing w:line="360" w:lineRule="auto"/>
        <w:ind w:firstLine="482" w:firstLineChars="200"/>
        <w:jc w:val="left"/>
        <w:rPr>
          <w:b/>
          <w:bCs/>
          <w:sz w:val="24"/>
          <w:szCs w:val="32"/>
        </w:rPr>
      </w:pPr>
      <w:r>
        <w:rPr>
          <w:rFonts w:hint="eastAsia"/>
          <w:b/>
          <w:bCs/>
          <w:sz w:val="24"/>
          <w:szCs w:val="32"/>
        </w:rPr>
        <w:t>（1）课程标准内容要求</w:t>
      </w:r>
    </w:p>
    <w:p>
      <w:pPr>
        <w:spacing w:line="360" w:lineRule="auto"/>
        <w:ind w:firstLine="480" w:firstLineChars="200"/>
        <w:jc w:val="left"/>
        <w:rPr>
          <w:sz w:val="24"/>
          <w:szCs w:val="32"/>
        </w:rPr>
      </w:pPr>
      <w:r>
        <w:rPr>
          <w:rFonts w:hint="eastAsia"/>
          <w:sz w:val="24"/>
          <w:szCs w:val="32"/>
        </w:rPr>
        <w:t>2.3 论证中国特色社会主义是当代中国发展的根本方向，坚定坚持和发展中国特色社会主义的自信。</w:t>
      </w:r>
    </w:p>
    <w:p>
      <w:pPr>
        <w:spacing w:line="360" w:lineRule="auto"/>
        <w:ind w:firstLine="480" w:firstLineChars="200"/>
        <w:jc w:val="left"/>
        <w:rPr>
          <w:sz w:val="24"/>
          <w:szCs w:val="32"/>
        </w:rPr>
      </w:pPr>
      <w:r>
        <w:rPr>
          <w:rFonts w:hint="eastAsia"/>
          <w:sz w:val="24"/>
          <w:szCs w:val="32"/>
        </w:rPr>
        <w:t>2.4 阐明中国特色社会主义进入新时代，我们比历史上任何时期都更接近、更有信心和能力实现中华民族伟大复兴的目标。</w:t>
      </w:r>
    </w:p>
    <w:p>
      <w:pPr>
        <w:spacing w:line="360" w:lineRule="auto"/>
        <w:ind w:firstLine="480" w:firstLineChars="200"/>
        <w:jc w:val="right"/>
        <w:rPr>
          <w:sz w:val="24"/>
          <w:szCs w:val="32"/>
        </w:rPr>
      </w:pPr>
      <w:r>
        <w:rPr>
          <w:rFonts w:hint="eastAsia"/>
          <w:sz w:val="24"/>
          <w:szCs w:val="32"/>
        </w:rPr>
        <w:t>——《普通高中思想政治课程标准（2017年版2020年修订）》</w:t>
      </w:r>
    </w:p>
    <w:p>
      <w:pPr>
        <w:spacing w:line="360" w:lineRule="auto"/>
        <w:ind w:firstLine="482" w:firstLineChars="200"/>
        <w:jc w:val="left"/>
        <w:rPr>
          <w:b/>
          <w:bCs/>
          <w:sz w:val="24"/>
          <w:szCs w:val="32"/>
        </w:rPr>
      </w:pPr>
      <w:r>
        <w:rPr>
          <w:rFonts w:hint="eastAsia"/>
          <w:b/>
          <w:bCs/>
          <w:sz w:val="24"/>
          <w:szCs w:val="32"/>
        </w:rPr>
        <w:t>（2）相关学业质量水平</w:t>
      </w:r>
    </w:p>
    <w:p>
      <w:pPr>
        <w:spacing w:line="360" w:lineRule="auto"/>
        <w:ind w:firstLine="480" w:firstLineChars="200"/>
        <w:jc w:val="left"/>
        <w:rPr>
          <w:sz w:val="24"/>
          <w:szCs w:val="32"/>
        </w:rPr>
      </w:pPr>
      <w:r>
        <w:rPr>
          <w:rFonts w:hint="eastAsia"/>
          <w:sz w:val="24"/>
          <w:szCs w:val="32"/>
        </w:rPr>
        <w:t>2-2 运用辩证唯物主义基本观点和方法，回应当前经济、政治、文化社会、生态文明建设中的突出问题，并对相关信息或推理进行检验和评价。</w:t>
      </w:r>
    </w:p>
    <w:p>
      <w:pPr>
        <w:spacing w:line="360" w:lineRule="auto"/>
        <w:ind w:firstLine="480" w:firstLineChars="200"/>
        <w:jc w:val="left"/>
        <w:rPr>
          <w:sz w:val="24"/>
          <w:szCs w:val="32"/>
        </w:rPr>
      </w:pPr>
      <w:r>
        <w:rPr>
          <w:rFonts w:hint="eastAsia"/>
          <w:sz w:val="24"/>
          <w:szCs w:val="32"/>
        </w:rPr>
        <w:t>3-1 选择恰当论据，在全球视野中比较各国发展道路，论证只有中国特色社会主义才能发展中国。</w:t>
      </w:r>
    </w:p>
    <w:p>
      <w:pPr>
        <w:spacing w:line="360" w:lineRule="auto"/>
        <w:ind w:firstLine="480" w:firstLineChars="200"/>
        <w:jc w:val="left"/>
        <w:rPr>
          <w:sz w:val="24"/>
          <w:szCs w:val="32"/>
        </w:rPr>
      </w:pPr>
      <w:r>
        <w:rPr>
          <w:rFonts w:hint="eastAsia"/>
          <w:sz w:val="24"/>
          <w:szCs w:val="32"/>
        </w:rPr>
        <w:t>4-1 综合运用各种论据，辨析各种错误思潮，有创见地批驳封闭僵化或改旗易帜的主张，阐明走中国特色社会主义道路的坚定信念。</w:t>
      </w:r>
    </w:p>
    <w:p>
      <w:pPr>
        <w:spacing w:line="360" w:lineRule="auto"/>
        <w:ind w:firstLine="480" w:firstLineChars="200"/>
        <w:jc w:val="right"/>
        <w:rPr>
          <w:sz w:val="24"/>
          <w:szCs w:val="32"/>
        </w:rPr>
      </w:pPr>
      <w:r>
        <w:rPr>
          <w:rFonts w:hint="eastAsia"/>
          <w:sz w:val="24"/>
          <w:szCs w:val="32"/>
        </w:rPr>
        <w:t>——《普通高中思想政治课程标准（2017年版2020年修订）》</w:t>
      </w:r>
    </w:p>
    <w:p>
      <w:pPr>
        <w:spacing w:line="360" w:lineRule="auto"/>
        <w:ind w:firstLine="482" w:firstLineChars="200"/>
        <w:jc w:val="left"/>
        <w:rPr>
          <w:b/>
          <w:bCs/>
          <w:sz w:val="24"/>
          <w:szCs w:val="32"/>
        </w:rPr>
      </w:pPr>
      <w:r>
        <w:rPr>
          <w:rFonts w:hint="eastAsia"/>
          <w:b/>
          <w:bCs/>
          <w:sz w:val="24"/>
          <w:szCs w:val="32"/>
        </w:rPr>
        <w:t>（3）核心素养目标</w:t>
      </w:r>
    </w:p>
    <w:p>
      <w:pPr>
        <w:spacing w:line="360" w:lineRule="auto"/>
        <w:ind w:firstLine="641" w:firstLineChars="266"/>
        <w:jc w:val="left"/>
        <w:rPr>
          <w:b/>
          <w:bCs/>
          <w:sz w:val="24"/>
          <w:szCs w:val="32"/>
        </w:rPr>
      </w:pPr>
      <w:r>
        <w:rPr>
          <w:rFonts w:hint="eastAsia"/>
          <w:b/>
          <w:bCs/>
          <w:sz w:val="24"/>
          <w:szCs w:val="32"/>
        </w:rPr>
        <w:t>政治认同：</w:t>
      </w:r>
      <w:r>
        <w:rPr>
          <w:rFonts w:hint="eastAsia"/>
          <w:sz w:val="24"/>
          <w:szCs w:val="32"/>
        </w:rPr>
        <w:t>通过分享汇报与小组探究环节，学生理解并认同新的历史方位，并在分析视频情境中体会中国共产党与时代共同进步的先进性本色，确信新时代必须一以贯之地坚持和发展中国特色社会主义，提高政治认同感。</w:t>
      </w:r>
    </w:p>
    <w:p>
      <w:pPr>
        <w:spacing w:line="360" w:lineRule="auto"/>
        <w:ind w:firstLine="641" w:firstLineChars="266"/>
        <w:jc w:val="left"/>
        <w:rPr>
          <w:rFonts w:ascii="宋体" w:hAnsi="宋体" w:eastAsia="宋体" w:cs="宋体"/>
          <w:b/>
          <w:bCs/>
          <w:sz w:val="24"/>
        </w:rPr>
      </w:pPr>
      <w:r>
        <w:rPr>
          <w:rFonts w:hint="eastAsia"/>
          <w:b/>
          <w:bCs/>
          <w:sz w:val="24"/>
          <w:szCs w:val="32"/>
        </w:rPr>
        <w:t>科学精神：</w:t>
      </w:r>
      <w:r>
        <w:rPr>
          <w:rFonts w:hint="eastAsia"/>
          <w:sz w:val="24"/>
          <w:szCs w:val="32"/>
        </w:rPr>
        <w:t>通过分享汇报活动，学生能运用马克思主义哲学的基本原理观察、理解和解释当今社会的成就与突出问题；用辩证思维与历史思维，以建设性批判的态度思考在新时代如何继续发展中国特色社会主义事业，增进科学精神。</w:t>
      </w:r>
    </w:p>
    <w:p>
      <w:pPr>
        <w:numPr>
          <w:ilvl w:val="0"/>
          <w:numId w:val="2"/>
        </w:numPr>
        <w:spacing w:line="360" w:lineRule="auto"/>
        <w:jc w:val="left"/>
        <w:rPr>
          <w:rFonts w:ascii="宋体" w:hAnsi="宋体" w:eastAsia="宋体" w:cs="宋体"/>
          <w:b/>
          <w:bCs/>
          <w:sz w:val="24"/>
        </w:rPr>
      </w:pPr>
      <w:r>
        <w:rPr>
          <w:rFonts w:hint="eastAsia" w:ascii="宋体" w:hAnsi="宋体" w:eastAsia="宋体" w:cs="宋体"/>
          <w:b/>
          <w:bCs/>
          <w:sz w:val="24"/>
        </w:rPr>
        <w:t>教学内容</w:t>
      </w:r>
    </w:p>
    <w:p>
      <w:pPr>
        <w:spacing w:line="360" w:lineRule="auto"/>
        <w:ind w:firstLine="480" w:firstLineChars="200"/>
        <w:jc w:val="left"/>
        <w:rPr>
          <w:rFonts w:ascii="宋体" w:hAnsi="宋体" w:eastAsia="宋体" w:cs="宋体"/>
          <w:b/>
          <w:bCs/>
          <w:sz w:val="24"/>
        </w:rPr>
      </w:pPr>
      <w:r>
        <w:rPr>
          <w:rFonts w:hint="eastAsia"/>
          <w:sz w:val="24"/>
          <w:szCs w:val="32"/>
        </w:rPr>
        <w:t>本课《中国特色社会主义进入新时代》选自高中思想政治必修1第四课第一框。第四课《只有坚持和发展中国特色社会主义才能实现中华民族伟大复兴》是必修一全书的落脚点，紧紧围绕“新时代新征程新思想”这一逻辑思路展开，而其第一框《中国特色社会主义进入新时代》则重点交代了“新时代”这一全新的历史方位，讲述新时代的科学内涵和我国社会主要矛盾的变化，阐释新时代必须一以贯之地坚持和发展中国特色社会主义，为学生学习与理解“新征程”、“新思想”奠定了基础。</w:t>
      </w:r>
    </w:p>
    <w:p>
      <w:pPr>
        <w:numPr>
          <w:ilvl w:val="0"/>
          <w:numId w:val="2"/>
        </w:numPr>
        <w:spacing w:line="360" w:lineRule="auto"/>
        <w:jc w:val="left"/>
        <w:rPr>
          <w:rFonts w:ascii="宋体" w:hAnsi="宋体" w:eastAsia="宋体" w:cs="宋体"/>
          <w:b/>
          <w:bCs/>
          <w:sz w:val="24"/>
        </w:rPr>
      </w:pPr>
      <w:r>
        <w:rPr>
          <w:rFonts w:hint="eastAsia" w:ascii="宋体" w:hAnsi="宋体" w:eastAsia="宋体" w:cs="宋体"/>
          <w:b/>
          <w:bCs/>
          <w:sz w:val="24"/>
        </w:rPr>
        <w:t>教学方法、模式、策略</w:t>
      </w:r>
    </w:p>
    <w:p>
      <w:pPr>
        <w:spacing w:line="360" w:lineRule="auto"/>
        <w:ind w:firstLine="480" w:firstLineChars="200"/>
        <w:jc w:val="left"/>
        <w:rPr>
          <w:sz w:val="24"/>
          <w:szCs w:val="32"/>
        </w:rPr>
      </w:pPr>
      <w:r>
        <w:rPr>
          <w:rFonts w:hint="eastAsia"/>
          <w:sz w:val="24"/>
          <w:szCs w:val="32"/>
        </w:rPr>
        <w:t>本课运用教法有议题式教学法、案例教学法、讲授法，运用学法有合作探究法、自主学习法、查阅资料法，并采用现象分析模式与启发式教学策略。</w:t>
      </w:r>
    </w:p>
    <w:p>
      <w:pPr>
        <w:spacing w:line="360" w:lineRule="auto"/>
        <w:ind w:firstLine="480" w:firstLineChars="200"/>
        <w:jc w:val="left"/>
        <w:rPr>
          <w:sz w:val="24"/>
          <w:szCs w:val="32"/>
        </w:rPr>
      </w:pPr>
      <w:r>
        <w:rPr>
          <w:rFonts w:hint="eastAsia"/>
          <w:sz w:val="24"/>
          <w:szCs w:val="32"/>
        </w:rPr>
        <w:t>本课坚持“课程内容活动化”“活动内容课程化”的新课标精神，依据教学内容和学生思维规律，在“如何理解中国特色社会主义的新时代”这一总议题的引领下，设置“感悟新时代，体会成与未成”、“解读新时代，思考变与不变”、“奋斗新时代，致敬党与人民”三个具有思维梯度的分议题，注重引导学生从生活经验和社会现象出发，通过议题活动和教师启发性设疑，学生多层次并主动地理解、分析“新时代”这一全新的历史方位，并确信在新时代必须一以贯之地坚持和发展中国特色社会主义。</w:t>
      </w:r>
    </w:p>
    <w:p>
      <w:pPr>
        <w:numPr>
          <w:ilvl w:val="0"/>
          <w:numId w:val="2"/>
        </w:numPr>
        <w:spacing w:line="360" w:lineRule="auto"/>
        <w:jc w:val="left"/>
        <w:rPr>
          <w:rFonts w:ascii="宋体" w:hAnsi="宋体" w:eastAsia="宋体" w:cs="宋体"/>
          <w:b/>
          <w:bCs/>
          <w:sz w:val="24"/>
        </w:rPr>
      </w:pPr>
      <w:r>
        <w:rPr>
          <w:rFonts w:hint="eastAsia" w:ascii="宋体" w:hAnsi="宋体" w:eastAsia="宋体" w:cs="宋体"/>
          <w:b/>
          <w:bCs/>
          <w:sz w:val="24"/>
        </w:rPr>
        <w:t>教学媒体</w:t>
      </w:r>
    </w:p>
    <w:p>
      <w:pPr>
        <w:spacing w:line="360" w:lineRule="auto"/>
        <w:ind w:firstLine="480" w:firstLineChars="200"/>
        <w:jc w:val="left"/>
        <w:rPr>
          <w:sz w:val="24"/>
          <w:szCs w:val="32"/>
        </w:rPr>
      </w:pPr>
      <w:r>
        <w:rPr>
          <w:rFonts w:hint="eastAsia"/>
          <w:sz w:val="24"/>
          <w:szCs w:val="32"/>
        </w:rPr>
        <w:t>PPT课件、视频</w:t>
      </w:r>
    </w:p>
    <w:p>
      <w:pPr>
        <w:numPr>
          <w:ilvl w:val="0"/>
          <w:numId w:val="2"/>
        </w:numPr>
        <w:spacing w:line="360" w:lineRule="auto"/>
        <w:jc w:val="left"/>
        <w:rPr>
          <w:rFonts w:ascii="宋体" w:hAnsi="宋体" w:eastAsia="宋体" w:cs="宋体"/>
          <w:b/>
          <w:bCs/>
          <w:sz w:val="24"/>
        </w:rPr>
      </w:pPr>
      <w:r>
        <w:rPr>
          <w:rFonts w:hint="eastAsia" w:ascii="宋体" w:hAnsi="宋体" w:eastAsia="宋体" w:cs="宋体"/>
          <w:b/>
          <w:bCs/>
          <w:sz w:val="24"/>
        </w:rPr>
        <w:t>教学设计方案</w:t>
      </w:r>
    </w:p>
    <w:tbl>
      <w:tblPr>
        <w:tblStyle w:val="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898"/>
        <w:gridCol w:w="2267"/>
        <w:gridCol w:w="1727"/>
        <w:gridCol w:w="1597"/>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Align w:val="center"/>
          </w:tcPr>
          <w:p>
            <w:pPr>
              <w:spacing w:line="360" w:lineRule="auto"/>
              <w:jc w:val="center"/>
              <w:rPr>
                <w:b/>
                <w:bCs/>
                <w:szCs w:val="21"/>
              </w:rPr>
            </w:pPr>
            <w:r>
              <w:rPr>
                <w:rFonts w:hint="eastAsia"/>
                <w:b/>
                <w:bCs/>
                <w:szCs w:val="21"/>
              </w:rPr>
              <w:t>环节</w:t>
            </w:r>
          </w:p>
        </w:tc>
        <w:tc>
          <w:tcPr>
            <w:tcW w:w="527" w:type="pct"/>
          </w:tcPr>
          <w:p>
            <w:pPr>
              <w:spacing w:line="360" w:lineRule="auto"/>
              <w:jc w:val="center"/>
              <w:rPr>
                <w:b/>
                <w:bCs/>
                <w:szCs w:val="21"/>
              </w:rPr>
            </w:pPr>
            <w:r>
              <w:rPr>
                <w:rFonts w:hint="eastAsia"/>
                <w:b/>
                <w:bCs/>
                <w:szCs w:val="21"/>
              </w:rPr>
              <w:t>议题</w:t>
            </w:r>
          </w:p>
        </w:tc>
        <w:tc>
          <w:tcPr>
            <w:tcW w:w="1330" w:type="pct"/>
          </w:tcPr>
          <w:p>
            <w:pPr>
              <w:spacing w:line="360" w:lineRule="auto"/>
              <w:jc w:val="center"/>
              <w:rPr>
                <w:b/>
                <w:bCs/>
                <w:szCs w:val="21"/>
              </w:rPr>
            </w:pPr>
            <w:r>
              <w:rPr>
                <w:rFonts w:hint="eastAsia"/>
                <w:b/>
                <w:bCs/>
                <w:szCs w:val="21"/>
              </w:rPr>
              <w:t>教师活动</w:t>
            </w:r>
          </w:p>
        </w:tc>
        <w:tc>
          <w:tcPr>
            <w:tcW w:w="1013" w:type="pct"/>
          </w:tcPr>
          <w:p>
            <w:pPr>
              <w:spacing w:line="360" w:lineRule="auto"/>
              <w:jc w:val="center"/>
              <w:rPr>
                <w:b/>
                <w:bCs/>
                <w:szCs w:val="21"/>
              </w:rPr>
            </w:pPr>
            <w:r>
              <w:rPr>
                <w:rFonts w:hint="eastAsia"/>
                <w:b/>
                <w:bCs/>
                <w:szCs w:val="21"/>
              </w:rPr>
              <w:t>学生活动</w:t>
            </w:r>
          </w:p>
        </w:tc>
        <w:tc>
          <w:tcPr>
            <w:tcW w:w="937" w:type="pct"/>
          </w:tcPr>
          <w:p>
            <w:pPr>
              <w:spacing w:line="360" w:lineRule="auto"/>
              <w:jc w:val="center"/>
              <w:rPr>
                <w:b/>
                <w:bCs/>
                <w:szCs w:val="21"/>
              </w:rPr>
            </w:pPr>
            <w:r>
              <w:rPr>
                <w:rFonts w:hint="eastAsia"/>
                <w:b/>
                <w:bCs/>
                <w:szCs w:val="21"/>
              </w:rPr>
              <w:t>评价活动</w:t>
            </w:r>
          </w:p>
        </w:tc>
        <w:tc>
          <w:tcPr>
            <w:tcW w:w="878" w:type="pct"/>
          </w:tcPr>
          <w:p>
            <w:pPr>
              <w:spacing w:line="360" w:lineRule="auto"/>
              <w:jc w:val="center"/>
              <w:rPr>
                <w:b/>
                <w:bCs/>
                <w:szCs w:val="21"/>
              </w:rPr>
            </w:pPr>
            <w:r>
              <w:rPr>
                <w:rFonts w:hint="eastAsia"/>
                <w:b/>
                <w:bCs/>
                <w:szCs w:val="21"/>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9" w:hRule="atLeast"/>
        </w:trPr>
        <w:tc>
          <w:tcPr>
            <w:tcW w:w="312" w:type="pct"/>
            <w:vAlign w:val="center"/>
          </w:tcPr>
          <w:p>
            <w:pPr>
              <w:spacing w:line="360" w:lineRule="auto"/>
              <w:jc w:val="center"/>
              <w:rPr>
                <w:szCs w:val="21"/>
              </w:rPr>
            </w:pPr>
            <w:r>
              <w:rPr>
                <w:rFonts w:hint="eastAsia"/>
                <w:szCs w:val="21"/>
              </w:rPr>
              <w:t>导入</w:t>
            </w:r>
          </w:p>
        </w:tc>
        <w:tc>
          <w:tcPr>
            <w:tcW w:w="527" w:type="pct"/>
          </w:tcPr>
          <w:p>
            <w:pPr>
              <w:spacing w:line="360" w:lineRule="auto"/>
              <w:jc w:val="left"/>
              <w:rPr>
                <w:szCs w:val="21"/>
              </w:rPr>
            </w:pPr>
            <w:r>
              <w:rPr>
                <w:rFonts w:hint="eastAsia"/>
                <w:szCs w:val="21"/>
              </w:rPr>
              <w:t>总议题：</w:t>
            </w:r>
          </w:p>
          <w:p>
            <w:pPr>
              <w:spacing w:line="360" w:lineRule="auto"/>
              <w:jc w:val="left"/>
              <w:rPr>
                <w:szCs w:val="21"/>
              </w:rPr>
            </w:pPr>
            <w:r>
              <w:rPr>
                <w:rFonts w:hint="eastAsia"/>
                <w:szCs w:val="21"/>
              </w:rPr>
              <w:t>如何理解中国特色社会主义的新时代？</w:t>
            </w:r>
          </w:p>
        </w:tc>
        <w:tc>
          <w:tcPr>
            <w:tcW w:w="1330" w:type="pct"/>
          </w:tcPr>
          <w:p>
            <w:pPr>
              <w:spacing w:line="360" w:lineRule="auto"/>
              <w:jc w:val="left"/>
              <w:rPr>
                <w:szCs w:val="21"/>
              </w:rPr>
            </w:pPr>
            <w:r>
              <w:rPr>
                <w:rFonts w:hint="eastAsia"/>
                <w:szCs w:val="21"/>
              </w:rPr>
              <w:t>介绍“全国脱贫攻坚总结表彰大会”的时政素材，引入“新时代”这一课堂主题。</w:t>
            </w:r>
          </w:p>
        </w:tc>
        <w:tc>
          <w:tcPr>
            <w:tcW w:w="1013" w:type="pct"/>
          </w:tcPr>
          <w:p>
            <w:pPr>
              <w:spacing w:line="360" w:lineRule="auto"/>
              <w:jc w:val="left"/>
              <w:rPr>
                <w:szCs w:val="21"/>
              </w:rPr>
            </w:pPr>
          </w:p>
        </w:tc>
        <w:tc>
          <w:tcPr>
            <w:tcW w:w="937" w:type="pct"/>
          </w:tcPr>
          <w:p>
            <w:pPr>
              <w:spacing w:line="360" w:lineRule="auto"/>
              <w:jc w:val="left"/>
              <w:rPr>
                <w:szCs w:val="21"/>
              </w:rPr>
            </w:pPr>
          </w:p>
        </w:tc>
        <w:tc>
          <w:tcPr>
            <w:tcW w:w="878" w:type="pct"/>
          </w:tcPr>
          <w:p>
            <w:pPr>
              <w:spacing w:line="360" w:lineRule="auto"/>
              <w:jc w:val="left"/>
              <w:rPr>
                <w:szCs w:val="21"/>
              </w:rPr>
            </w:pPr>
            <w:r>
              <w:rPr>
                <w:rFonts w:hint="eastAsia"/>
                <w:szCs w:val="21"/>
              </w:rPr>
              <w:t>时政导入，利于丰富学生时政积累，快速导入教学内容，同时为“新时代”“脱贫攻坚”的课堂双线作铺垫。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restart"/>
            <w:vAlign w:val="center"/>
          </w:tcPr>
          <w:p>
            <w:pPr>
              <w:spacing w:line="360" w:lineRule="auto"/>
              <w:jc w:val="center"/>
              <w:rPr>
                <w:szCs w:val="21"/>
              </w:rPr>
            </w:pPr>
          </w:p>
          <w:p>
            <w:pPr>
              <w:spacing w:line="360" w:lineRule="auto"/>
              <w:jc w:val="center"/>
              <w:rPr>
                <w:szCs w:val="21"/>
              </w:rPr>
            </w:pPr>
            <w:r>
              <w:rPr>
                <w:rFonts w:hint="eastAsia"/>
                <w:szCs w:val="21"/>
              </w:rPr>
              <w:t>新课讲授</w:t>
            </w:r>
          </w:p>
        </w:tc>
        <w:tc>
          <w:tcPr>
            <w:tcW w:w="527" w:type="pct"/>
          </w:tcPr>
          <w:p>
            <w:pPr>
              <w:spacing w:line="360" w:lineRule="auto"/>
              <w:jc w:val="left"/>
              <w:rPr>
                <w:szCs w:val="21"/>
              </w:rPr>
            </w:pPr>
            <w:r>
              <w:rPr>
                <w:rFonts w:hint="eastAsia"/>
                <w:szCs w:val="21"/>
              </w:rPr>
              <w:t>分议题1：</w:t>
            </w:r>
          </w:p>
          <w:p>
            <w:pPr>
              <w:spacing w:line="360" w:lineRule="auto"/>
              <w:jc w:val="left"/>
              <w:rPr>
                <w:szCs w:val="21"/>
              </w:rPr>
            </w:pPr>
            <w:r>
              <w:rPr>
                <w:rFonts w:hint="eastAsia"/>
                <w:szCs w:val="21"/>
              </w:rPr>
              <w:t>感悟新时代，体会成与未成</w:t>
            </w:r>
          </w:p>
        </w:tc>
        <w:tc>
          <w:tcPr>
            <w:tcW w:w="1330" w:type="pct"/>
          </w:tcPr>
          <w:p>
            <w:pPr>
              <w:spacing w:line="360" w:lineRule="auto"/>
              <w:jc w:val="left"/>
              <w:rPr>
                <w:szCs w:val="21"/>
              </w:rPr>
            </w:pPr>
            <w:r>
              <w:rPr>
                <w:rFonts w:hint="eastAsia"/>
                <w:szCs w:val="21"/>
              </w:rPr>
              <w:t>【作业分享】</w:t>
            </w:r>
          </w:p>
          <w:p>
            <w:pPr>
              <w:spacing w:line="360" w:lineRule="auto"/>
              <w:jc w:val="left"/>
              <w:rPr>
                <w:szCs w:val="21"/>
              </w:rPr>
            </w:pPr>
            <w:r>
              <w:rPr>
                <w:rFonts w:hint="eastAsia"/>
                <w:szCs w:val="21"/>
              </w:rPr>
              <w:t>组织学生分享课前作业：</w:t>
            </w:r>
          </w:p>
          <w:p>
            <w:pPr>
              <w:numPr>
                <w:ilvl w:val="0"/>
                <w:numId w:val="3"/>
              </w:numPr>
              <w:spacing w:line="360" w:lineRule="auto"/>
              <w:jc w:val="left"/>
              <w:rPr>
                <w:szCs w:val="21"/>
              </w:rPr>
            </w:pPr>
            <w:r>
              <w:rPr>
                <w:rFonts w:hint="eastAsia"/>
                <w:szCs w:val="21"/>
              </w:rPr>
              <w:t>党的十八大以来，中国特色社会主义事业取得哪些辉煌成就？”，</w:t>
            </w:r>
          </w:p>
          <w:p>
            <w:pPr>
              <w:numPr>
                <w:ilvl w:val="0"/>
                <w:numId w:val="3"/>
              </w:numPr>
              <w:spacing w:line="360" w:lineRule="auto"/>
              <w:jc w:val="left"/>
              <w:rPr>
                <w:szCs w:val="21"/>
              </w:rPr>
            </w:pPr>
            <w:r>
              <w:rPr>
                <w:szCs w:val="21"/>
              </w:rPr>
              <w:t>当前我国经济、社会、生态等领域仍存在哪些问题？</w:t>
            </w:r>
          </w:p>
          <w:p>
            <w:pPr>
              <w:spacing w:line="360" w:lineRule="auto"/>
              <w:jc w:val="left"/>
              <w:rPr>
                <w:szCs w:val="21"/>
              </w:rPr>
            </w:pPr>
          </w:p>
          <w:p>
            <w:pPr>
              <w:spacing w:line="360" w:lineRule="auto"/>
              <w:jc w:val="left"/>
              <w:rPr>
                <w:szCs w:val="21"/>
              </w:rPr>
            </w:pPr>
            <w:r>
              <w:rPr>
                <w:rFonts w:hint="eastAsia"/>
                <w:szCs w:val="21"/>
              </w:rPr>
              <w:t>依据学生对成就的分享，通过列举扶贫数据、中外贫困路径对比，引导学生理解新时代的内涵与意义</w:t>
            </w:r>
          </w:p>
        </w:tc>
        <w:tc>
          <w:tcPr>
            <w:tcW w:w="1013" w:type="pct"/>
          </w:tcPr>
          <w:p>
            <w:pPr>
              <w:spacing w:line="360" w:lineRule="auto"/>
              <w:jc w:val="left"/>
              <w:rPr>
                <w:szCs w:val="21"/>
              </w:rPr>
            </w:pPr>
            <w:r>
              <w:rPr>
                <w:rFonts w:hint="eastAsia"/>
                <w:szCs w:val="21"/>
              </w:rPr>
              <w:t>课前通过查阅资料了解分享社会的成就与问题，初步感悟新时代。</w:t>
            </w:r>
          </w:p>
        </w:tc>
        <w:tc>
          <w:tcPr>
            <w:tcW w:w="937" w:type="pct"/>
          </w:tcPr>
          <w:p>
            <w:pPr>
              <w:spacing w:line="360" w:lineRule="auto"/>
              <w:jc w:val="left"/>
              <w:rPr>
                <w:szCs w:val="21"/>
              </w:rPr>
            </w:pPr>
            <w:r>
              <w:rPr>
                <w:rFonts w:hint="eastAsia"/>
                <w:szCs w:val="21"/>
              </w:rPr>
              <w:t>对学生的作业分享进行评价。评价时指导学生注意观点和论据的结合，引导学生有理有据地切实地感悟新时代的成就与问题。</w:t>
            </w:r>
          </w:p>
          <w:p>
            <w:pPr>
              <w:spacing w:line="360" w:lineRule="auto"/>
              <w:jc w:val="left"/>
              <w:rPr>
                <w:szCs w:val="21"/>
              </w:rPr>
            </w:pPr>
            <w:r>
              <w:rPr>
                <w:rFonts w:hint="eastAsia"/>
                <w:szCs w:val="21"/>
              </w:rPr>
              <w:t>对学生核心素养进行评价：</w:t>
            </w:r>
          </w:p>
          <w:p>
            <w:pPr>
              <w:spacing w:line="360" w:lineRule="auto"/>
              <w:jc w:val="left"/>
              <w:rPr>
                <w:szCs w:val="21"/>
              </w:rPr>
            </w:pPr>
            <w:r>
              <w:rPr>
                <w:rFonts w:hint="eastAsia"/>
                <w:szCs w:val="21"/>
              </w:rPr>
              <w:t>科学精神——评价学生能否运用马克思主义哲学的基本原理观察、理解当今社会现象。</w:t>
            </w:r>
          </w:p>
          <w:p>
            <w:pPr>
              <w:spacing w:line="360" w:lineRule="auto"/>
              <w:jc w:val="left"/>
              <w:rPr>
                <w:szCs w:val="21"/>
              </w:rPr>
            </w:pPr>
          </w:p>
        </w:tc>
        <w:tc>
          <w:tcPr>
            <w:tcW w:w="878" w:type="pct"/>
          </w:tcPr>
          <w:p>
            <w:pPr>
              <w:spacing w:line="360" w:lineRule="auto"/>
              <w:jc w:val="left"/>
              <w:rPr>
                <w:szCs w:val="21"/>
              </w:rPr>
            </w:pPr>
            <w:r>
              <w:rPr>
                <w:rFonts w:hint="eastAsia"/>
                <w:szCs w:val="21"/>
              </w:rPr>
              <w:t>通过自主探究社会的成就与问题，以及对比中外贫困路径的材料，学生能够切实感悟并理解新时代全新的内涵与意义，并能够用辩证和发展的眼光看待新时代，达成课标要求2.4与学业质量水平2-2、3-1。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vAlign w:val="center"/>
          </w:tcPr>
          <w:p>
            <w:pPr>
              <w:spacing w:line="360" w:lineRule="auto"/>
              <w:jc w:val="center"/>
              <w:rPr>
                <w:szCs w:val="21"/>
              </w:rPr>
            </w:pPr>
          </w:p>
        </w:tc>
        <w:tc>
          <w:tcPr>
            <w:tcW w:w="527" w:type="pct"/>
          </w:tcPr>
          <w:p>
            <w:pPr>
              <w:spacing w:line="360" w:lineRule="auto"/>
              <w:jc w:val="left"/>
              <w:rPr>
                <w:szCs w:val="21"/>
              </w:rPr>
            </w:pPr>
            <w:r>
              <w:rPr>
                <w:rFonts w:hint="eastAsia"/>
                <w:szCs w:val="21"/>
              </w:rPr>
              <w:t>分议题2：</w:t>
            </w:r>
          </w:p>
          <w:p>
            <w:pPr>
              <w:spacing w:line="360" w:lineRule="auto"/>
              <w:jc w:val="left"/>
              <w:rPr>
                <w:szCs w:val="21"/>
              </w:rPr>
            </w:pPr>
            <w:r>
              <w:rPr>
                <w:rFonts w:hint="eastAsia"/>
                <w:szCs w:val="21"/>
              </w:rPr>
              <w:t>解读新时代，思考变与不变</w:t>
            </w:r>
          </w:p>
        </w:tc>
        <w:tc>
          <w:tcPr>
            <w:tcW w:w="1330" w:type="pct"/>
          </w:tcPr>
          <w:p>
            <w:pPr>
              <w:spacing w:line="360" w:lineRule="auto"/>
              <w:jc w:val="left"/>
              <w:rPr>
                <w:b/>
                <w:bCs/>
                <w:szCs w:val="21"/>
              </w:rPr>
            </w:pPr>
            <w:r>
              <w:rPr>
                <w:rFonts w:hint="eastAsia"/>
                <w:b/>
                <w:bCs/>
                <w:szCs w:val="21"/>
              </w:rPr>
              <w:t>【组织讨论】</w:t>
            </w:r>
          </w:p>
          <w:p>
            <w:pPr>
              <w:spacing w:line="360" w:lineRule="auto"/>
              <w:jc w:val="left"/>
              <w:rPr>
                <w:szCs w:val="21"/>
              </w:rPr>
            </w:pPr>
            <w:r>
              <w:rPr>
                <w:rFonts w:hint="eastAsia"/>
                <w:szCs w:val="21"/>
              </w:rPr>
              <w:t>小组讨论：作为新时代的一员，你对社会生活有怎样的新期待？</w:t>
            </w:r>
          </w:p>
          <w:p>
            <w:pPr>
              <w:spacing w:line="360" w:lineRule="auto"/>
              <w:jc w:val="left"/>
              <w:rPr>
                <w:b/>
                <w:bCs/>
                <w:szCs w:val="21"/>
              </w:rPr>
            </w:pPr>
            <w:r>
              <w:rPr>
                <w:rFonts w:hint="eastAsia"/>
                <w:b/>
                <w:bCs/>
                <w:szCs w:val="21"/>
              </w:rPr>
              <w:t>【展现材料】</w:t>
            </w:r>
          </w:p>
          <w:p>
            <w:pPr>
              <w:numPr>
                <w:ilvl w:val="0"/>
                <w:numId w:val="4"/>
              </w:numPr>
              <w:spacing w:line="360" w:lineRule="auto"/>
              <w:jc w:val="left"/>
              <w:rPr>
                <w:b/>
                <w:bCs/>
                <w:szCs w:val="21"/>
              </w:rPr>
            </w:pPr>
            <w:r>
              <w:rPr>
                <w:rFonts w:hint="eastAsia"/>
                <w:b/>
                <w:bCs/>
                <w:szCs w:val="21"/>
              </w:rPr>
              <w:t>材料一</w:t>
            </w:r>
          </w:p>
          <w:p>
            <w:pPr>
              <w:spacing w:line="360" w:lineRule="auto"/>
              <w:ind w:firstLine="420" w:firstLineChars="200"/>
              <w:jc w:val="left"/>
              <w:rPr>
                <w:szCs w:val="21"/>
              </w:rPr>
            </w:pPr>
            <w:r>
              <w:rPr>
                <w:rFonts w:hint="eastAsia"/>
                <w:szCs w:val="21"/>
              </w:rPr>
              <w:t>经济学家张立群指出：“发展的矛盾和问题，还是非常普遍和深刻的……像城乡之间的发展差距，2019年城镇居民人均收入是农民的2.64倍，高收入群体人均收入是低收入群体人均收入的10倍以上；再比如地区之间的发展差距，江苏省的人均地区生产总值是甘肃省的4倍左右……”</w:t>
            </w:r>
          </w:p>
          <w:p>
            <w:pPr>
              <w:numPr>
                <w:ilvl w:val="0"/>
                <w:numId w:val="4"/>
              </w:numPr>
              <w:spacing w:line="360" w:lineRule="auto"/>
              <w:jc w:val="left"/>
              <w:rPr>
                <w:b/>
                <w:bCs/>
                <w:szCs w:val="21"/>
              </w:rPr>
            </w:pPr>
            <w:r>
              <w:rPr>
                <w:rFonts w:hint="eastAsia"/>
                <w:b/>
                <w:bCs/>
                <w:szCs w:val="21"/>
              </w:rPr>
              <w:t>材料二</w:t>
            </w:r>
          </w:p>
          <w:p>
            <w:pPr>
              <w:spacing w:line="360" w:lineRule="auto"/>
              <w:ind w:firstLine="420" w:firstLineChars="200"/>
              <w:jc w:val="left"/>
              <w:rPr>
                <w:szCs w:val="21"/>
              </w:rPr>
            </w:pPr>
            <w:r>
              <w:rPr>
                <w:rFonts w:hint="eastAsia"/>
                <w:szCs w:val="21"/>
              </w:rPr>
              <w:t>国家统计局关晓静指出：“2019年中国的创新指数排名跃升至第14位，是前15名里唯一的发展中国家，表明中国正从科技大国向科技强国迈进。但仍然面临前瞻性基础研究和颠覆性技术等方面的创新能力不足、科技创新成果转化水平较低等问题。”</w:t>
            </w:r>
          </w:p>
          <w:p>
            <w:pPr>
              <w:numPr>
                <w:ilvl w:val="0"/>
                <w:numId w:val="4"/>
              </w:numPr>
              <w:spacing w:line="360" w:lineRule="auto"/>
              <w:jc w:val="left"/>
              <w:rPr>
                <w:b/>
                <w:bCs/>
                <w:szCs w:val="21"/>
              </w:rPr>
            </w:pPr>
            <w:r>
              <w:rPr>
                <w:rFonts w:hint="eastAsia"/>
                <w:b/>
                <w:bCs/>
                <w:szCs w:val="21"/>
              </w:rPr>
              <w:t>材料三</w:t>
            </w:r>
          </w:p>
          <w:p>
            <w:pPr>
              <w:spacing w:line="360" w:lineRule="auto"/>
              <w:ind w:firstLine="420" w:firstLineChars="200"/>
              <w:jc w:val="left"/>
              <w:rPr>
                <w:szCs w:val="21"/>
              </w:rPr>
            </w:pPr>
            <w:r>
              <w:rPr>
                <w:rFonts w:hint="eastAsia"/>
                <w:szCs w:val="21"/>
              </w:rPr>
              <w:t>展现GDP数据对比：1981与2017年中国GDP、2017年美国（发达国家）与巴西（发展中国家）人均GDP。</w:t>
            </w:r>
          </w:p>
        </w:tc>
        <w:tc>
          <w:tcPr>
            <w:tcW w:w="1013" w:type="pct"/>
          </w:tcPr>
          <w:p>
            <w:pPr>
              <w:spacing w:line="360" w:lineRule="auto"/>
              <w:jc w:val="left"/>
              <w:rPr>
                <w:szCs w:val="21"/>
              </w:rPr>
            </w:pPr>
            <w:r>
              <w:rPr>
                <w:rFonts w:hint="eastAsia"/>
                <w:szCs w:val="21"/>
              </w:rPr>
              <w:t>基于生活实践，学生讨论并分享自身对社会生活的期待可涉及生态环境、教育事业、基础设施、科技水平等等诸多方面。</w:t>
            </w:r>
          </w:p>
          <w:p>
            <w:pPr>
              <w:spacing w:line="360" w:lineRule="auto"/>
              <w:jc w:val="left"/>
              <w:rPr>
                <w:szCs w:val="21"/>
              </w:rPr>
            </w:pPr>
          </w:p>
          <w:p>
            <w:pPr>
              <w:spacing w:line="360" w:lineRule="auto"/>
              <w:jc w:val="left"/>
              <w:rPr>
                <w:szCs w:val="21"/>
              </w:rPr>
            </w:pPr>
            <w:r>
              <w:rPr>
                <w:rFonts w:hint="eastAsia"/>
                <w:szCs w:val="21"/>
              </w:rPr>
              <w:t>基于三则材料，学生能够理解并生成：</w:t>
            </w:r>
          </w:p>
          <w:p>
            <w:pPr>
              <w:numPr>
                <w:ilvl w:val="0"/>
                <w:numId w:val="5"/>
              </w:numPr>
              <w:spacing w:line="360" w:lineRule="auto"/>
              <w:jc w:val="left"/>
              <w:rPr>
                <w:szCs w:val="21"/>
              </w:rPr>
            </w:pPr>
            <w:r>
              <w:rPr>
                <w:rFonts w:hint="eastAsia"/>
                <w:szCs w:val="21"/>
              </w:rPr>
              <w:t>我国的生产力水平有着长足进步，但是当今社会发展仍存在着结构不平衡、程度不充分的典型问题。</w:t>
            </w:r>
          </w:p>
          <w:p>
            <w:pPr>
              <w:numPr>
                <w:ilvl w:val="0"/>
                <w:numId w:val="5"/>
              </w:numPr>
              <w:spacing w:line="360" w:lineRule="auto"/>
              <w:jc w:val="left"/>
              <w:rPr>
                <w:szCs w:val="21"/>
              </w:rPr>
            </w:pPr>
            <w:r>
              <w:rPr>
                <w:rFonts w:hint="eastAsia"/>
                <w:szCs w:val="21"/>
              </w:rPr>
              <w:t>我国并未成为发达国家，仍然是世界最大发展中国家，仍处于社会主义初级阶段（不发达阶段）。</w:t>
            </w:r>
          </w:p>
        </w:tc>
        <w:tc>
          <w:tcPr>
            <w:tcW w:w="937" w:type="pct"/>
          </w:tcPr>
          <w:p>
            <w:pPr>
              <w:spacing w:line="360" w:lineRule="auto"/>
              <w:jc w:val="left"/>
              <w:rPr>
                <w:szCs w:val="21"/>
              </w:rPr>
            </w:pPr>
            <w:r>
              <w:rPr>
                <w:rFonts w:hint="eastAsia"/>
                <w:szCs w:val="21"/>
              </w:rPr>
              <w:t>对学生有效提取材料信息的能力，并且能围绕课堂预设的探究问题的回答进行评价。</w:t>
            </w:r>
          </w:p>
          <w:p>
            <w:pPr>
              <w:spacing w:line="360" w:lineRule="auto"/>
              <w:jc w:val="left"/>
              <w:rPr>
                <w:szCs w:val="21"/>
              </w:rPr>
            </w:pPr>
          </w:p>
          <w:p>
            <w:pPr>
              <w:spacing w:line="360" w:lineRule="auto"/>
              <w:jc w:val="left"/>
              <w:rPr>
                <w:szCs w:val="21"/>
              </w:rPr>
            </w:pPr>
            <w:r>
              <w:rPr>
                <w:rFonts w:hint="eastAsia"/>
                <w:szCs w:val="21"/>
              </w:rPr>
              <w:t>对学生核心素养的评价：</w:t>
            </w:r>
          </w:p>
          <w:p>
            <w:pPr>
              <w:spacing w:line="360" w:lineRule="auto"/>
              <w:jc w:val="left"/>
              <w:rPr>
                <w:szCs w:val="21"/>
              </w:rPr>
            </w:pPr>
            <w:r>
              <w:rPr>
                <w:rFonts w:hint="eastAsia"/>
                <w:szCs w:val="21"/>
              </w:rPr>
              <w:t>科学精神——评价学生能否用辩证唯物主义和历史唯物主义来思考当今发展问题与新时代的“变与不变”。</w:t>
            </w:r>
          </w:p>
        </w:tc>
        <w:tc>
          <w:tcPr>
            <w:tcW w:w="878" w:type="pct"/>
          </w:tcPr>
          <w:p>
            <w:pPr>
              <w:spacing w:line="360" w:lineRule="auto"/>
              <w:jc w:val="left"/>
              <w:rPr>
                <w:szCs w:val="21"/>
              </w:rPr>
            </w:pPr>
            <w:r>
              <w:rPr>
                <w:rFonts w:hint="eastAsia"/>
                <w:szCs w:val="21"/>
              </w:rPr>
              <w:t>通过小组讨论环节，学生能依据讨论结果，从社会需要角度理解新时代之下人民需求的多样性，尊重学生主体地位。</w:t>
            </w:r>
          </w:p>
          <w:p>
            <w:pPr>
              <w:spacing w:line="360" w:lineRule="auto"/>
              <w:jc w:val="left"/>
              <w:rPr>
                <w:szCs w:val="21"/>
              </w:rPr>
            </w:pPr>
            <w:r>
              <w:rPr>
                <w:rFonts w:hint="eastAsia"/>
                <w:szCs w:val="21"/>
              </w:rPr>
              <w:t>通过三则材料的对比，学生能理解我国发展的不平衡不充分问题，从而生成我国主要矛盾的变化。</w:t>
            </w:r>
          </w:p>
          <w:p>
            <w:pPr>
              <w:spacing w:line="360" w:lineRule="auto"/>
              <w:jc w:val="left"/>
              <w:rPr>
                <w:szCs w:val="21"/>
              </w:rPr>
            </w:pPr>
            <w:r>
              <w:rPr>
                <w:rFonts w:hint="eastAsia"/>
                <w:szCs w:val="21"/>
              </w:rPr>
              <w:t>另外，通过各国GDP数值对比，学生有效生成我国基本国情和国际地位的不变。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312" w:type="pct"/>
            <w:vMerge w:val="continue"/>
            <w:vAlign w:val="center"/>
          </w:tcPr>
          <w:p>
            <w:pPr>
              <w:spacing w:line="360" w:lineRule="auto"/>
              <w:jc w:val="center"/>
              <w:rPr>
                <w:szCs w:val="21"/>
              </w:rPr>
            </w:pPr>
          </w:p>
        </w:tc>
        <w:tc>
          <w:tcPr>
            <w:tcW w:w="527" w:type="pct"/>
          </w:tcPr>
          <w:p>
            <w:pPr>
              <w:spacing w:line="360" w:lineRule="auto"/>
              <w:jc w:val="left"/>
              <w:rPr>
                <w:szCs w:val="21"/>
              </w:rPr>
            </w:pPr>
            <w:r>
              <w:rPr>
                <w:rFonts w:hint="eastAsia"/>
                <w:szCs w:val="21"/>
              </w:rPr>
              <w:t>分议题3：</w:t>
            </w:r>
          </w:p>
          <w:p>
            <w:pPr>
              <w:spacing w:line="360" w:lineRule="auto"/>
              <w:jc w:val="left"/>
              <w:rPr>
                <w:szCs w:val="21"/>
              </w:rPr>
            </w:pPr>
            <w:r>
              <w:rPr>
                <w:rFonts w:hint="eastAsia"/>
                <w:szCs w:val="21"/>
              </w:rPr>
              <w:t>奋斗新时代，依靠党与人民</w:t>
            </w:r>
          </w:p>
        </w:tc>
        <w:tc>
          <w:tcPr>
            <w:tcW w:w="1330" w:type="pct"/>
          </w:tcPr>
          <w:p>
            <w:pPr>
              <w:spacing w:line="360" w:lineRule="auto"/>
              <w:jc w:val="left"/>
              <w:rPr>
                <w:szCs w:val="21"/>
              </w:rPr>
            </w:pPr>
            <w:r>
              <w:rPr>
                <w:rFonts w:hint="eastAsia"/>
                <w:szCs w:val="21"/>
              </w:rPr>
              <w:t>播放视频：《凉山州的历史之变》；</w:t>
            </w:r>
          </w:p>
          <w:p>
            <w:pPr>
              <w:spacing w:line="360" w:lineRule="auto"/>
              <w:jc w:val="left"/>
              <w:rPr>
                <w:szCs w:val="21"/>
              </w:rPr>
            </w:pPr>
            <w:r>
              <w:rPr>
                <w:rFonts w:hint="eastAsia"/>
                <w:szCs w:val="21"/>
              </w:rPr>
              <w:t>提出问题：凉山州脱贫具有哪些成功经验？</w:t>
            </w:r>
          </w:p>
          <w:p>
            <w:pPr>
              <w:spacing w:line="360" w:lineRule="auto"/>
              <w:jc w:val="left"/>
              <w:rPr>
                <w:szCs w:val="21"/>
              </w:rPr>
            </w:pPr>
          </w:p>
        </w:tc>
        <w:tc>
          <w:tcPr>
            <w:tcW w:w="1013" w:type="pct"/>
          </w:tcPr>
          <w:p>
            <w:pPr>
              <w:spacing w:line="360" w:lineRule="auto"/>
              <w:jc w:val="left"/>
              <w:rPr>
                <w:szCs w:val="21"/>
              </w:rPr>
            </w:pPr>
            <w:r>
              <w:rPr>
                <w:rFonts w:hint="eastAsia"/>
                <w:szCs w:val="21"/>
              </w:rPr>
              <w:t>基于视频，学生能够回答：</w:t>
            </w:r>
          </w:p>
          <w:p>
            <w:pPr>
              <w:numPr>
                <w:ilvl w:val="0"/>
                <w:numId w:val="6"/>
              </w:numPr>
              <w:spacing w:line="360" w:lineRule="auto"/>
              <w:jc w:val="left"/>
              <w:rPr>
                <w:szCs w:val="21"/>
              </w:rPr>
            </w:pPr>
            <w:r>
              <w:rPr>
                <w:rFonts w:hint="eastAsia"/>
                <w:szCs w:val="21"/>
              </w:rPr>
              <w:t>凉山州的脱贫依靠习近平总书记实地调研提出易地搬迁、特色产业等脱贫之策；</w:t>
            </w:r>
          </w:p>
          <w:p>
            <w:pPr>
              <w:numPr>
                <w:ilvl w:val="0"/>
                <w:numId w:val="6"/>
              </w:numPr>
              <w:spacing w:line="360" w:lineRule="auto"/>
              <w:jc w:val="left"/>
              <w:rPr>
                <w:szCs w:val="21"/>
              </w:rPr>
            </w:pPr>
            <w:r>
              <w:rPr>
                <w:rFonts w:hint="eastAsia"/>
                <w:szCs w:val="21"/>
              </w:rPr>
              <w:t>凉山州脱贫需要当地村民接受培训、艰苦奋斗、劳动脱贫；</w:t>
            </w:r>
          </w:p>
          <w:p>
            <w:pPr>
              <w:numPr>
                <w:ilvl w:val="0"/>
                <w:numId w:val="6"/>
              </w:numPr>
              <w:spacing w:line="360" w:lineRule="auto"/>
              <w:jc w:val="left"/>
              <w:rPr>
                <w:szCs w:val="21"/>
              </w:rPr>
            </w:pPr>
            <w:r>
              <w:rPr>
                <w:rFonts w:hint="eastAsia"/>
                <w:szCs w:val="21"/>
              </w:rPr>
              <w:t>为了凉山州脱贫，各级党员干部制定帮扶计划，各级党组织开展督导检查。</w:t>
            </w:r>
          </w:p>
        </w:tc>
        <w:tc>
          <w:tcPr>
            <w:tcW w:w="937" w:type="pct"/>
          </w:tcPr>
          <w:p>
            <w:pPr>
              <w:spacing w:line="360" w:lineRule="auto"/>
              <w:jc w:val="left"/>
              <w:rPr>
                <w:szCs w:val="21"/>
              </w:rPr>
            </w:pPr>
            <w:r>
              <w:rPr>
                <w:rFonts w:hint="eastAsia"/>
                <w:szCs w:val="21"/>
              </w:rPr>
              <w:t>对学生围绕课堂预设的探究问题的回答进行评价，考察学生的回答是否能够基于视频材料有根有据地切实生成。</w:t>
            </w:r>
          </w:p>
          <w:p>
            <w:pPr>
              <w:spacing w:line="360" w:lineRule="auto"/>
              <w:jc w:val="left"/>
              <w:rPr>
                <w:szCs w:val="21"/>
              </w:rPr>
            </w:pPr>
            <w:r>
              <w:rPr>
                <w:rFonts w:hint="eastAsia"/>
                <w:szCs w:val="21"/>
              </w:rPr>
              <w:t>对学生核心素养的评价：</w:t>
            </w:r>
          </w:p>
          <w:p>
            <w:pPr>
              <w:spacing w:line="360" w:lineRule="auto"/>
              <w:jc w:val="left"/>
              <w:rPr>
                <w:szCs w:val="21"/>
              </w:rPr>
            </w:pPr>
            <w:r>
              <w:rPr>
                <w:rFonts w:hint="eastAsia"/>
                <w:szCs w:val="21"/>
              </w:rPr>
              <w:t>政治认同——评价学生是否能够认同并说明中国共产党是中国特色社会主义事业的领导核心，考察学生是否能通过分析具体事例表明中国特色社会主义制度的显著优势。</w:t>
            </w:r>
          </w:p>
        </w:tc>
        <w:tc>
          <w:tcPr>
            <w:tcW w:w="878" w:type="pct"/>
          </w:tcPr>
          <w:p>
            <w:pPr>
              <w:spacing w:line="360" w:lineRule="auto"/>
              <w:jc w:val="left"/>
              <w:rPr>
                <w:szCs w:val="21"/>
              </w:rPr>
            </w:pPr>
            <w:r>
              <w:rPr>
                <w:rFonts w:hint="eastAsia"/>
                <w:szCs w:val="21"/>
              </w:rPr>
              <w:t>引导学生体会中国共产党的先进性，确信新时代必须一以贯之地坚持和发展中国特色社会主义，驳斥改旗易帜的主张，达成课标要求2.3以及学业质量水平4-1。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312" w:type="pct"/>
            <w:vAlign w:val="center"/>
          </w:tcPr>
          <w:p>
            <w:pPr>
              <w:spacing w:line="360" w:lineRule="auto"/>
              <w:jc w:val="center"/>
              <w:rPr>
                <w:szCs w:val="21"/>
              </w:rPr>
            </w:pPr>
            <w:r>
              <w:rPr>
                <w:rFonts w:hint="eastAsia"/>
                <w:szCs w:val="21"/>
              </w:rPr>
              <w:t>升华</w:t>
            </w:r>
          </w:p>
        </w:tc>
        <w:tc>
          <w:tcPr>
            <w:tcW w:w="527" w:type="pct"/>
          </w:tcPr>
          <w:p>
            <w:pPr>
              <w:spacing w:line="360" w:lineRule="auto"/>
              <w:jc w:val="left"/>
              <w:rPr>
                <w:szCs w:val="21"/>
              </w:rPr>
            </w:pPr>
          </w:p>
        </w:tc>
        <w:tc>
          <w:tcPr>
            <w:tcW w:w="1330" w:type="pct"/>
          </w:tcPr>
          <w:p>
            <w:pPr>
              <w:spacing w:line="360" w:lineRule="auto"/>
              <w:jc w:val="left"/>
              <w:rPr>
                <w:szCs w:val="21"/>
              </w:rPr>
            </w:pPr>
            <w:r>
              <w:rPr>
                <w:rFonts w:hint="eastAsia"/>
                <w:szCs w:val="21"/>
              </w:rPr>
              <w:t>展示黄文秀、黄薇（薇娅）的扶贫事迹，作出教师寄语。</w:t>
            </w:r>
          </w:p>
        </w:tc>
        <w:tc>
          <w:tcPr>
            <w:tcW w:w="1013" w:type="pct"/>
          </w:tcPr>
          <w:p>
            <w:pPr>
              <w:spacing w:line="360" w:lineRule="auto"/>
              <w:jc w:val="left"/>
              <w:rPr>
                <w:szCs w:val="21"/>
              </w:rPr>
            </w:pPr>
          </w:p>
        </w:tc>
        <w:tc>
          <w:tcPr>
            <w:tcW w:w="937" w:type="pct"/>
          </w:tcPr>
          <w:p>
            <w:pPr>
              <w:spacing w:line="360" w:lineRule="auto"/>
              <w:jc w:val="left"/>
              <w:rPr>
                <w:szCs w:val="21"/>
              </w:rPr>
            </w:pPr>
          </w:p>
        </w:tc>
        <w:tc>
          <w:tcPr>
            <w:tcW w:w="878" w:type="pct"/>
          </w:tcPr>
          <w:p>
            <w:pPr>
              <w:spacing w:line="360" w:lineRule="auto"/>
              <w:jc w:val="left"/>
              <w:rPr>
                <w:szCs w:val="21"/>
              </w:rPr>
            </w:pPr>
            <w:r>
              <w:rPr>
                <w:rFonts w:hint="eastAsia"/>
                <w:szCs w:val="21"/>
              </w:rPr>
              <w:t>引导学生学习新时代的模范，坚定为新时代发展中国特色社会主义事业贡献力量的理想信念。</w:t>
            </w:r>
          </w:p>
        </w:tc>
      </w:tr>
    </w:tbl>
    <w:p>
      <w:pPr>
        <w:spacing w:line="360" w:lineRule="auto"/>
        <w:jc w:val="left"/>
        <w:rPr>
          <w:rFonts w:ascii="宋体" w:hAnsi="宋体" w:eastAsia="宋体" w:cs="宋体"/>
          <w:b/>
          <w:bCs/>
          <w:sz w:val="24"/>
        </w:rPr>
      </w:pPr>
    </w:p>
    <w:p>
      <w:pPr>
        <w:spacing w:line="360" w:lineRule="auto"/>
        <w:jc w:val="left"/>
        <w:rPr>
          <w:rFonts w:ascii="宋体" w:hAnsi="宋体" w:eastAsia="宋体" w:cs="宋体"/>
          <w:b/>
          <w:bCs/>
          <w:sz w:val="24"/>
        </w:rPr>
      </w:pPr>
      <w:r>
        <w:rPr>
          <w:rFonts w:ascii="宋体" w:hAnsi="宋体" w:eastAsia="宋体" w:cs="宋体"/>
          <w:b/>
          <w:bCs/>
          <w:sz w:val="24"/>
        </w:rPr>
        <w:drawing>
          <wp:inline distT="0" distB="0" distL="114300" distR="114300">
            <wp:extent cx="5267325" cy="2821305"/>
            <wp:effectExtent l="0" t="0" r="9525" b="17145"/>
            <wp:docPr id="1" name="图片 1" descr="0098e4ba45933c65688371727fc3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98e4ba45933c65688371727fc33fc"/>
                    <pic:cNvPicPr>
                      <a:picLocks noChangeAspect="1"/>
                    </pic:cNvPicPr>
                  </pic:nvPicPr>
                  <pic:blipFill>
                    <a:blip r:embed="rId4"/>
                    <a:srcRect b="4820"/>
                    <a:stretch>
                      <a:fillRect/>
                    </a:stretch>
                  </pic:blipFill>
                  <pic:spPr>
                    <a:xfrm>
                      <a:off x="0" y="0"/>
                      <a:ext cx="5267325" cy="2821305"/>
                    </a:xfrm>
                    <a:prstGeom prst="rect">
                      <a:avLst/>
                    </a:prstGeom>
                  </pic:spPr>
                </pic:pic>
              </a:graphicData>
            </a:graphic>
          </wp:inline>
        </w:drawing>
      </w:r>
    </w:p>
    <w:p>
      <w:pPr>
        <w:spacing w:line="360" w:lineRule="auto"/>
        <w:jc w:val="left"/>
        <w:rPr>
          <w:rFonts w:ascii="宋体" w:hAnsi="宋体" w:eastAsia="宋体" w:cs="宋体"/>
          <w:b/>
          <w:bCs/>
          <w:sz w:val="24"/>
        </w:rPr>
      </w:pPr>
      <w:r>
        <w:rPr>
          <w:rFonts w:ascii="宋体" w:hAnsi="宋体" w:eastAsia="宋体" w:cs="宋体"/>
          <w:b/>
          <w:bCs/>
          <w:sz w:val="24"/>
        </w:rPr>
        <w:drawing>
          <wp:inline distT="0" distB="0" distL="114300" distR="114300">
            <wp:extent cx="5265420" cy="2964180"/>
            <wp:effectExtent l="0" t="0" r="11430" b="7620"/>
            <wp:docPr id="2" name="图片 2" descr="bc057843de9089fc5da355b5618e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c057843de9089fc5da355b5618e781"/>
                    <pic:cNvPicPr>
                      <a:picLocks noChangeAspect="1"/>
                    </pic:cNvPicPr>
                  </pic:nvPicPr>
                  <pic:blipFill>
                    <a:blip r:embed="rId5"/>
                    <a:stretch>
                      <a:fillRect/>
                    </a:stretch>
                  </pic:blipFill>
                  <pic:spPr>
                    <a:xfrm>
                      <a:off x="0" y="0"/>
                      <a:ext cx="5265420" cy="2964180"/>
                    </a:xfrm>
                    <a:prstGeom prst="rect">
                      <a:avLst/>
                    </a:prstGeom>
                  </pic:spPr>
                </pic:pic>
              </a:graphicData>
            </a:graphic>
          </wp:inline>
        </w:drawing>
      </w:r>
    </w:p>
    <w:p>
      <w:pPr>
        <w:spacing w:line="360" w:lineRule="auto"/>
        <w:jc w:val="left"/>
        <w:rPr>
          <w:rFonts w:ascii="宋体" w:hAnsi="宋体" w:eastAsia="宋体" w:cs="宋体"/>
          <w:b/>
          <w:bCs/>
          <w:sz w:val="28"/>
          <w:szCs w:val="28"/>
        </w:rPr>
      </w:pPr>
      <w:r>
        <w:rPr>
          <w:rFonts w:hint="eastAsia" w:ascii="宋体" w:hAnsi="宋体" w:eastAsia="宋体" w:cs="宋体"/>
          <w:b/>
          <w:bCs/>
          <w:sz w:val="28"/>
          <w:szCs w:val="28"/>
        </w:rPr>
        <w:t>三、成效与反思</w:t>
      </w:r>
    </w:p>
    <w:p>
      <w:pPr>
        <w:spacing w:line="360" w:lineRule="auto"/>
        <w:ind w:firstLine="480" w:firstLineChars="200"/>
        <w:jc w:val="left"/>
        <w:rPr>
          <w:sz w:val="24"/>
        </w:rPr>
      </w:pPr>
      <w:r>
        <w:rPr>
          <w:rFonts w:hint="eastAsia"/>
          <w:sz w:val="24"/>
        </w:rPr>
        <w:t>在学校领导的带领下，在科组全体教师的指导帮助下，教师于广东实验中学开展异地教学讲授本课，教学效果较为显著，学生能有效地感悟、理解并认同中国特色社会主义的新时代，达成教学目标。针对本课例的备课与教学过程，教师得出教学亮点与教学反思总结如下。</w:t>
      </w:r>
    </w:p>
    <w:p>
      <w:pPr>
        <w:spacing w:line="360" w:lineRule="auto"/>
        <w:ind w:firstLine="482" w:firstLineChars="200"/>
        <w:jc w:val="left"/>
        <w:rPr>
          <w:b/>
          <w:bCs/>
          <w:sz w:val="24"/>
        </w:rPr>
      </w:pPr>
      <w:r>
        <w:rPr>
          <w:rFonts w:hint="eastAsia"/>
          <w:b/>
          <w:bCs/>
          <w:sz w:val="24"/>
        </w:rPr>
        <w:t>1.教学亮点</w:t>
      </w:r>
    </w:p>
    <w:p>
      <w:pPr>
        <w:spacing w:line="360" w:lineRule="auto"/>
        <w:ind w:firstLine="480" w:firstLineChars="200"/>
        <w:jc w:val="left"/>
        <w:rPr>
          <w:sz w:val="24"/>
        </w:rPr>
      </w:pPr>
      <w:r>
        <w:rPr>
          <w:rFonts w:hint="eastAsia"/>
          <w:sz w:val="24"/>
        </w:rPr>
        <w:t>本课创新性在于“双线并行”的教学思路。本课在总议题的统领之下，以“新时代”为课堂明线，以“脱贫攻坚”为课堂暗线，分别在三个分议题中以“脱贫攻坚”的案例、原因与经验来促使学生有效生成“新时代”的特点、现象与做法，将“脱贫攻坚”这一时政热点贯穿课堂教学，增强学生政治认同感。</w:t>
      </w:r>
    </w:p>
    <w:p>
      <w:pPr>
        <w:spacing w:line="360" w:lineRule="auto"/>
        <w:ind w:firstLine="480" w:firstLineChars="200"/>
        <w:jc w:val="left"/>
        <w:rPr>
          <w:sz w:val="24"/>
        </w:rPr>
      </w:pPr>
      <w:r>
        <w:rPr>
          <w:rFonts w:hint="eastAsia"/>
          <w:sz w:val="24"/>
        </w:rPr>
        <w:t>此外，本课有效地突出重点，突破难点。本课设定教学重点为“</w:t>
      </w:r>
      <w:r>
        <w:rPr>
          <w:rFonts w:hint="eastAsia"/>
          <w:sz w:val="24"/>
          <w:szCs w:val="32"/>
        </w:rPr>
        <w:t>新时代我国主要矛盾的变化”，设定难点为“新时代必须一以贯之地坚持和发展中国特色社会主义</w:t>
      </w:r>
      <w:r>
        <w:rPr>
          <w:rFonts w:hint="eastAsia"/>
          <w:sz w:val="24"/>
        </w:rPr>
        <w:t>”。对此，议题2在“脱贫攻坚”的主线之外补充了如科技、GDP数据对比等素材，通过多方面多层次多维度的案例素材向学生展现我国主要矛盾的切实变化。而针对难点内容，本课注重研究历史逻辑与理论逻辑，通过引导学生回顾“改革开放以来，我国取得一切成就的根本原因”这一旧知，理解我国进入新时代是基于中国共产党带领全体人民发展中国特色社会主义，而在新时代我们则需要将这一做法“一以贯之”地坚持下去，驳斥改旗易帜的主张，有效培育政治认同的核心素养。</w:t>
      </w:r>
    </w:p>
    <w:p>
      <w:pPr>
        <w:spacing w:line="360" w:lineRule="auto"/>
        <w:ind w:firstLine="482" w:firstLineChars="200"/>
        <w:jc w:val="left"/>
        <w:rPr>
          <w:b/>
          <w:bCs/>
          <w:sz w:val="24"/>
        </w:rPr>
      </w:pPr>
      <w:r>
        <w:rPr>
          <w:rFonts w:hint="eastAsia"/>
          <w:b/>
          <w:bCs/>
          <w:sz w:val="24"/>
        </w:rPr>
        <w:t>2.教学反思</w:t>
      </w:r>
    </w:p>
    <w:p>
      <w:pPr>
        <w:spacing w:line="360" w:lineRule="auto"/>
        <w:ind w:firstLine="480" w:firstLineChars="200"/>
        <w:jc w:val="left"/>
        <w:rPr>
          <w:sz w:val="24"/>
        </w:rPr>
      </w:pPr>
      <w:r>
        <w:rPr>
          <w:rFonts w:hint="eastAsia"/>
          <w:sz w:val="24"/>
        </w:rPr>
        <w:t>一是基于新教材必修一的理论深度，只有继续加强理论学习，持续提高政治素养，才能理直气壮地讲好思政课，理直气壮地传播好正能量；二是基于新教材必修一的宏大主题，在教学过程中应坚持贴近学生、贴近生活、贴近实际的原则，创设更富有生活性的情境，更可以推动学生勇于走出教室，迈入社会实践活动的大课堂，促使学生在理论联系实际中加深对中国特色社会主义进入新时代的理解，更好地达成教学目标；三是基于教学目标以及“认同课”的设定，在课堂最后的升华环节，教师应提高语言表达能力，运用更富有感情渲染力的语言引发学生情感共鸣与价值认同。</w:t>
      </w:r>
    </w:p>
    <w:p>
      <w:pPr>
        <w:spacing w:line="360" w:lineRule="auto"/>
        <w:ind w:firstLine="480" w:firstLineChars="200"/>
        <w:jc w:val="left"/>
        <w:rPr>
          <w:sz w:val="24"/>
        </w:rPr>
      </w:pPr>
    </w:p>
    <w:p>
      <w:pPr>
        <w:rPr>
          <w:rFonts w:ascii="仿宋_GB2312"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专家点评</w:t>
      </w:r>
    </w:p>
    <w:p>
      <w:pPr>
        <w:spacing w:line="360" w:lineRule="auto"/>
        <w:ind w:firstLine="480" w:firstLineChars="200"/>
        <w:jc w:val="left"/>
        <w:rPr>
          <w:sz w:val="24"/>
        </w:rPr>
      </w:pPr>
      <w:r>
        <w:rPr>
          <w:rFonts w:hint="eastAsia"/>
          <w:sz w:val="24"/>
        </w:rPr>
        <w:t>本课例坚持以议题为纽带，以活动为依托，充分体现了“课程内容活动化”“活动内容课程化”的新课标精神，有效培育学生的政治认同、科学精神等核心素养；另外，本课例创新性地运用“新时代”与“脱贫攻坚”两条课堂明暗线以及“感悟新时代”、“解读新时代”、“奋斗新时代”三个具有梯度层级的分议题，将课堂各个环节有机串联，使课堂层层递进、环环相扣；授课教师更注重学生认知规律和学科知识体系，利用板书、设问等细节突出重点、突破难点，有效达成教学目标。</w:t>
      </w:r>
    </w:p>
    <w:p>
      <w:pPr>
        <w:spacing w:line="360" w:lineRule="auto"/>
        <w:ind w:firstLine="480" w:firstLineChars="200"/>
        <w:jc w:val="left"/>
        <w:rPr>
          <w:sz w:val="24"/>
        </w:rPr>
      </w:pPr>
    </w:p>
    <w:p>
      <w:pPr>
        <w:rPr>
          <w:rFonts w:ascii="华文中宋" w:hAnsi="华文中宋" w:eastAsia="华文中宋" w:cs="华文中宋"/>
          <w:b/>
          <w:bCs/>
          <w:sz w:val="32"/>
          <w:szCs w:val="32"/>
        </w:rPr>
      </w:pPr>
    </w:p>
    <w:p>
      <w:pPr>
        <w:rPr>
          <w:rFonts w:ascii="宋体" w:hAnsi="宋体" w:eastAsia="宋体" w:cs="宋体"/>
          <w:b/>
          <w:bCs/>
          <w:color w:val="000000" w:themeColor="text1"/>
          <w:sz w:val="24"/>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7725D2"/>
    <w:multiLevelType w:val="singleLevel"/>
    <w:tmpl w:val="9F7725D2"/>
    <w:lvl w:ilvl="0" w:tentative="0">
      <w:start w:val="1"/>
      <w:numFmt w:val="decimal"/>
      <w:lvlText w:val="%1."/>
      <w:lvlJc w:val="left"/>
      <w:pPr>
        <w:tabs>
          <w:tab w:val="left" w:pos="312"/>
        </w:tabs>
      </w:pPr>
    </w:lvl>
  </w:abstractNum>
  <w:abstractNum w:abstractNumId="1">
    <w:nsid w:val="A548F01F"/>
    <w:multiLevelType w:val="singleLevel"/>
    <w:tmpl w:val="A548F01F"/>
    <w:lvl w:ilvl="0" w:tentative="0">
      <w:start w:val="1"/>
      <w:numFmt w:val="decimal"/>
      <w:suff w:val="space"/>
      <w:lvlText w:val="%1."/>
      <w:lvlJc w:val="left"/>
    </w:lvl>
  </w:abstractNum>
  <w:abstractNum w:abstractNumId="2">
    <w:nsid w:val="CD588CC1"/>
    <w:multiLevelType w:val="singleLevel"/>
    <w:tmpl w:val="CD588CC1"/>
    <w:lvl w:ilvl="0" w:tentative="0">
      <w:start w:val="1"/>
      <w:numFmt w:val="chineseCounting"/>
      <w:suff w:val="nothing"/>
      <w:lvlText w:val="%1、"/>
      <w:lvlJc w:val="left"/>
      <w:rPr>
        <w:rFonts w:hint="eastAsia"/>
      </w:rPr>
    </w:lvl>
  </w:abstractNum>
  <w:abstractNum w:abstractNumId="3">
    <w:nsid w:val="D1272253"/>
    <w:multiLevelType w:val="singleLevel"/>
    <w:tmpl w:val="D1272253"/>
    <w:lvl w:ilvl="0" w:tentative="0">
      <w:start w:val="1"/>
      <w:numFmt w:val="decimal"/>
      <w:lvlText w:val="%1."/>
      <w:lvlJc w:val="left"/>
      <w:pPr>
        <w:tabs>
          <w:tab w:val="left" w:pos="312"/>
        </w:tabs>
      </w:pPr>
    </w:lvl>
  </w:abstractNum>
  <w:abstractNum w:abstractNumId="4">
    <w:nsid w:val="79FDA703"/>
    <w:multiLevelType w:val="singleLevel"/>
    <w:tmpl w:val="79FDA703"/>
    <w:lvl w:ilvl="0" w:tentative="0">
      <w:start w:val="1"/>
      <w:numFmt w:val="decimal"/>
      <w:suff w:val="space"/>
      <w:lvlText w:val="%1."/>
      <w:lvlJc w:val="left"/>
    </w:lvl>
  </w:abstractNum>
  <w:abstractNum w:abstractNumId="5">
    <w:nsid w:val="7AC469FC"/>
    <w:multiLevelType w:val="singleLevel"/>
    <w:tmpl w:val="7AC469FC"/>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65F"/>
    <w:rsid w:val="006E4BFD"/>
    <w:rsid w:val="00C6665F"/>
    <w:rsid w:val="0A2712AB"/>
    <w:rsid w:val="10CD064F"/>
    <w:rsid w:val="16C36510"/>
    <w:rsid w:val="17CC5F55"/>
    <w:rsid w:val="18023E0A"/>
    <w:rsid w:val="22612899"/>
    <w:rsid w:val="227C593B"/>
    <w:rsid w:val="23B34460"/>
    <w:rsid w:val="2AD150CD"/>
    <w:rsid w:val="37230D26"/>
    <w:rsid w:val="409A34AA"/>
    <w:rsid w:val="43C009FA"/>
    <w:rsid w:val="4A482F4A"/>
    <w:rsid w:val="4F0020C0"/>
    <w:rsid w:val="50B20C70"/>
    <w:rsid w:val="599232C0"/>
    <w:rsid w:val="5B274877"/>
    <w:rsid w:val="60D74F7F"/>
    <w:rsid w:val="6DCE3097"/>
    <w:rsid w:val="6E787792"/>
    <w:rsid w:val="76C435F6"/>
    <w:rsid w:val="7F1301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批注框文本 Char"/>
    <w:basedOn w:val="7"/>
    <w:link w:val="2"/>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656</Words>
  <Characters>3743</Characters>
  <Lines>31</Lines>
  <Paragraphs>8</Paragraphs>
  <TotalTime>23</TotalTime>
  <ScaleCrop>false</ScaleCrop>
  <LinksUpToDate>false</LinksUpToDate>
  <CharactersWithSpaces>4391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2021-04-09T12:22:00Z</dcterms:created>
  <dc:creator>admin</dc:creator>
  <cp:lastModifiedBy>cogamng</cp:lastModifiedBy>
  <cp:lastPrinted>2021-04-09T15:39:00Z</cp:lastPrinted>
  <dcterms:modified xsi:type="dcterms:W3CDTF">2021-07-20T07:53:45Z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4A7315BCDD014B7A8B5A525A540BA7B9</vt:lpwstr>
  </property>
</Properties>
</file>