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邓洪教授简介</w:t>
      </w:r>
    </w:p>
    <w:p>
      <w:pPr>
        <w:spacing w:line="360" w:lineRule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 w:cs="黑体"/>
          <w:kern w:val="2"/>
          <w:sz w:val="24"/>
          <w:szCs w:val="22"/>
          <w:lang w:val="en-US" w:eastAsia="zh-CN" w:bidi="ar-SA"/>
        </w:rPr>
        <w:pict>
          <v:shape id="图片 1" o:spid="_x0000_s1027" type="#_x0000_t75" style="position:absolute;left:0;margin-left:78.75pt;margin-top:13.05pt;height:202.5pt;width:261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spacing w:line="360" w:lineRule="auto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rPr>
          <w:rFonts w:ascii="Times New Roman" w:hAnsi="Times New Roman" w:eastAsia="仿宋_GB2312"/>
          <w:sz w:val="24"/>
        </w:rPr>
      </w:pPr>
    </w:p>
    <w:p>
      <w:pPr>
        <w:spacing w:line="360" w:lineRule="auto"/>
        <w:rPr>
          <w:rFonts w:ascii="Times New Roman" w:hAnsi="Times New Roman" w:eastAsia="仿宋_GB2312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hint="eastAsia" w:ascii="Times New Roman" w:hAnsi="Times New Roman" w:eastAsia="仿宋_GB2312" w:cs="华文楷体"/>
          <w:kern w:val="0"/>
          <w:sz w:val="24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邓洪 2003</w:t>
      </w:r>
      <w:r>
        <w:rPr>
          <w:rFonts w:ascii="Times New Roman" w:hAnsi="Times New Roman" w:eastAsia="仿宋_GB2312" w:cs="华文楷体"/>
          <w:kern w:val="0"/>
          <w:sz w:val="24"/>
          <w:szCs w:val="28"/>
        </w:rPr>
        <w:t>毕业于中山大学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获</w:t>
      </w:r>
      <w:r>
        <w:rPr>
          <w:rFonts w:ascii="Times New Roman" w:hAnsi="Times New Roman" w:eastAsia="仿宋_GB2312" w:cs="华文楷体"/>
          <w:kern w:val="0"/>
          <w:sz w:val="24"/>
          <w:szCs w:val="28"/>
        </w:rPr>
        <w:t>博士学位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。现为华南师范大学化学与环境学院教授、博士生导师，教育部新世纪优秀人才以及广东省高校“千百十”工程省级重点培养对象（第七批）。目前主要从事微</w:t>
      </w:r>
      <w:r>
        <w:rPr>
          <w:rFonts w:ascii="Times New Roman" w:hAnsi="Times New Roman" w:eastAsia="仿宋_GB2312" w:cs="华文楷体"/>
          <w:kern w:val="0"/>
          <w:sz w:val="24"/>
          <w:szCs w:val="28"/>
        </w:rPr>
        <w:t>/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纳米晶相材料的化学控制合成与组装。近年来，以第一作者或通讯联系人在《美国化学会会志》、德国《应用化学》、《欧洲化学》、英国皇家化学化学会《化学通讯》以及《晶体生长与设计》和《晶体通讯工程》等等学术刊物发表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SCI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论文一百多</w:t>
      </w:r>
      <w:bookmarkStart w:id="0" w:name="_GoBack"/>
      <w:bookmarkEnd w:id="0"/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篇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;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先后主持两项国家自然科学基金面上项目，一项教育部新世纪优秀人才支持计划，一项</w:t>
      </w:r>
      <w:r>
        <w:rPr>
          <w:rFonts w:ascii="Times New Roman" w:hAnsi="Times New Roman" w:eastAsia="仿宋_GB2312" w:cs="华文楷体"/>
          <w:kern w:val="0"/>
          <w:sz w:val="24"/>
          <w:szCs w:val="28"/>
        </w:rPr>
        <w:t>广东省自然科学基金，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一项中国博士后基金，参与了广东省自然科学基金研究团队，国家自然科学基金</w:t>
      </w:r>
      <w:r>
        <w:rPr>
          <w:rFonts w:ascii="Times New Roman" w:hAnsi="Times New Roman" w:eastAsia="仿宋_GB2312" w:cs="华文楷体"/>
          <w:kern w:val="0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重大研究计划（纳米科技基础研究）。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hint="eastAsia" w:ascii="Times New Roman" w:hAnsi="Times New Roman" w:eastAsia="仿宋_GB2312" w:cs="华文楷体"/>
          <w:b/>
          <w:kern w:val="0"/>
          <w:sz w:val="24"/>
          <w:szCs w:val="28"/>
        </w:rPr>
        <w:t>代表性科研</w:t>
      </w:r>
      <w:r>
        <w:rPr>
          <w:rFonts w:ascii="Times New Roman" w:hAnsi="Times New Roman" w:eastAsia="仿宋_GB2312" w:cs="华文楷体"/>
          <w:b/>
          <w:kern w:val="0"/>
          <w:sz w:val="24"/>
          <w:szCs w:val="28"/>
        </w:rPr>
        <w:t>项目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1. “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晶态工程调控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”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教育部新世纪优秀人才支持计划，</w:t>
      </w:r>
      <w:r>
        <w:rPr>
          <w:rFonts w:ascii="Times New Roman" w:hAnsi="Times New Roman" w:eastAsia="仿宋_GB2312" w:cs="华文楷体"/>
          <w:kern w:val="0"/>
          <w:sz w:val="24"/>
          <w:szCs w:val="28"/>
        </w:rPr>
        <w:t xml:space="preserve">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50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万，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2012.12-2014.12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，项目负责人。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>2. “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新型四氮唑微孔配位聚合物的合成及荧光探针与气体吸附性能研究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”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，国家自然科学基金，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55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万，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2012.01-2014.12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，项目负责人。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>3. “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兼具磁性与荧光复合功能的稀土钒酸盐掺杂核－壳结构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(Fe</w:t>
      </w:r>
      <w:r>
        <w:rPr>
          <w:rFonts w:ascii="Times New Roman" w:hAnsi="Times New Roman" w:eastAsia="仿宋_GB2312" w:cs="TimesNewRomanPSMT"/>
          <w:kern w:val="0"/>
          <w:sz w:val="24"/>
          <w:szCs w:val="18"/>
        </w:rPr>
        <w:t>3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O</w:t>
      </w:r>
      <w:r>
        <w:rPr>
          <w:rFonts w:ascii="Times New Roman" w:hAnsi="Times New Roman" w:eastAsia="仿宋_GB2312" w:cs="TimesNewRomanPSMT"/>
          <w:kern w:val="0"/>
          <w:sz w:val="24"/>
          <w:szCs w:val="18"/>
        </w:rPr>
        <w:t>4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@SiO</w:t>
      </w:r>
      <w:r>
        <w:rPr>
          <w:rFonts w:ascii="Times New Roman" w:hAnsi="Times New Roman" w:eastAsia="仿宋_GB2312" w:cs="TimesNewRomanPSMT"/>
          <w:kern w:val="0"/>
          <w:sz w:val="24"/>
          <w:szCs w:val="18"/>
        </w:rPr>
        <w:t>2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)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的合成与性能研究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”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，国家自然科学基金，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30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万，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2009.01-2011.12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，项目负责人。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>4. “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动力锂离子电池材料物理化学问题研究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”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（团队项目）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广东省自然科学基金，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160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万，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2010.01-2013.12, 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参与。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b/>
          <w:kern w:val="0"/>
          <w:sz w:val="24"/>
          <w:szCs w:val="28"/>
        </w:rPr>
      </w:pPr>
      <w:r>
        <w:rPr>
          <w:rFonts w:hint="eastAsia" w:ascii="Times New Roman" w:hAnsi="Times New Roman" w:eastAsia="仿宋_GB2312" w:cs="华文楷体"/>
          <w:b/>
          <w:kern w:val="0"/>
          <w:sz w:val="24"/>
          <w:szCs w:val="28"/>
        </w:rPr>
        <w:t>代表</w:t>
      </w:r>
      <w:r>
        <w:rPr>
          <w:rFonts w:ascii="Times New Roman" w:hAnsi="Times New Roman" w:eastAsia="仿宋_GB2312" w:cs="华文楷体"/>
          <w:b/>
          <w:kern w:val="0"/>
          <w:sz w:val="24"/>
          <w:szCs w:val="28"/>
        </w:rPr>
        <w:t>性论文：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TimesNewRomanPSMT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1.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>Hong Deng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, Shihe Yang, Si Xiao, Hong Mei Gong, Qu Quan Wang,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TimesNewRomanPSMT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>Controlled Synthesis and Upconverted Avalanche Luminescence of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TimesNewRomanPSMT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>Cerium(III) and Neodymium(III) Orthovanadate Nanocrystals with High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Uniformity of Size and Shape,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>J. Am. Chem. Soc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., 2008, </w:t>
      </w:r>
      <w:r>
        <w:rPr>
          <w:rFonts w:ascii="Times New Roman" w:hAnsi="Times New Roman" w:eastAsia="仿宋_GB2312" w:cs="Times New Roman"/>
          <w:i/>
          <w:iCs/>
          <w:kern w:val="0"/>
          <w:sz w:val="24"/>
          <w:szCs w:val="28"/>
        </w:rPr>
        <w:t>130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 2032-2040.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2.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>Hong Deng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 Yongcai Qiu, Yinghua Li, Zhihui liu, Matthias Zeller, Stuart R. Batten, Reversible shrinkage and expansion of a blue photofluorescene cadmium coordination polymer and in situ tetrazole ligand synthesis,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>Chem. Commun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. 2008, 2239-2241.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TimesNewRomanPSMT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3. Yongcai Qiu,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>Hong Deng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,* Jixia Mou, Shihe Yang, Matthias Zeller, Stuart R. Batten, Haohan Wu and Jing Li, In situ tetrazole ligand synthesis leading to a microporous cadmium–organic framework for selective ion sensing,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>Chem. Commun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., 2009, 5415–5417.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4.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>Hong Deng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>, Yongcai Qiu, Shihe Yang,* General Surfactant-Free Synthesis of MTiO</w:t>
      </w:r>
      <w:r>
        <w:rPr>
          <w:rFonts w:ascii="Times New Roman" w:hAnsi="Times New Roman" w:eastAsia="仿宋_GB2312" w:cs="TimesNewRomanPSMT"/>
          <w:kern w:val="0"/>
          <w:sz w:val="24"/>
          <w:szCs w:val="18"/>
        </w:rPr>
        <w:t xml:space="preserve">3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(M = Ba, Sr, Pb) Perovskite Nanostrips,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>J. Mater. Chem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. 2009, </w:t>
      </w:r>
      <w:r>
        <w:rPr>
          <w:rFonts w:ascii="Times New Roman" w:hAnsi="Times New Roman" w:eastAsia="仿宋_GB2312" w:cs="Times New Roman"/>
          <w:i/>
          <w:iCs/>
          <w:kern w:val="0"/>
          <w:sz w:val="24"/>
          <w:szCs w:val="28"/>
        </w:rPr>
        <w:t>19</w:t>
      </w:r>
      <w:r>
        <w:rPr>
          <w:rFonts w:hint="eastAsia" w:ascii="Times New Roman" w:hAnsi="Times New Roman" w:eastAsia="仿宋_GB2312" w:cs="华文楷体"/>
          <w:kern w:val="0"/>
          <w:sz w:val="24"/>
          <w:szCs w:val="28"/>
        </w:rPr>
        <w:t>，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976-982.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5. Yongcai Qiu,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 xml:space="preserve">Hong Deng,*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Shihe Yang, Jixia Mou, Carole Daiguebonne, Nicolas Kerbellec, Olivier Guillou, and Stuart R. Batten, Syntheses, Crystal Structures, and Gas Storage Studies in New Three-Dimensional 5-Aminoisophthalate Praseodymium Polymeric Complexes,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>Inorg. Chem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. 2009, </w:t>
      </w:r>
      <w:r>
        <w:rPr>
          <w:rFonts w:ascii="Times New Roman" w:hAnsi="Times New Roman" w:eastAsia="仿宋_GB2312" w:cs="Times New Roman"/>
          <w:i/>
          <w:iCs/>
          <w:kern w:val="0"/>
          <w:sz w:val="24"/>
          <w:szCs w:val="28"/>
        </w:rPr>
        <w:t>48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 3976-3981.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TimesNewRomanPSMT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6.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 xml:space="preserve">Hong Deng, *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Yongcai Qiu, Carole Daiguebonne, Nicolas Kerbellec, Olivier Guillou, Matthias Zeller, and Stuart R. Batten, Synthesis of New Copper Cyanide complexes via theTransformation of Organonitrile to Inorganic Cyanide,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>Inorg. Chem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. 2008, </w:t>
      </w:r>
      <w:r>
        <w:rPr>
          <w:rFonts w:ascii="Times New Roman" w:hAnsi="Times New Roman" w:eastAsia="仿宋_GB2312" w:cs="Times New Roman"/>
          <w:i/>
          <w:iCs/>
          <w:kern w:val="0"/>
          <w:sz w:val="24"/>
          <w:szCs w:val="28"/>
        </w:rPr>
        <w:t>47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 5866-5872.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TimesNewRomanPSMT"/>
          <w:kern w:val="0"/>
          <w:sz w:val="24"/>
          <w:szCs w:val="28"/>
        </w:rPr>
      </w:pP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 xml:space="preserve">7.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Yongcai Qiu, Zhihui Liu, Yinghua Li,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>Hong Deng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,* Ronghua Zeng and Matthias Zeller, “Reversible Anion Exchange and Sensing in Large Porous Materials”,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>Inorg. Chem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. 2008, </w:t>
      </w:r>
      <w:r>
        <w:rPr>
          <w:rFonts w:ascii="Times New Roman" w:hAnsi="Times New Roman" w:eastAsia="仿宋_GB2312" w:cs="Times New Roman"/>
          <w:i/>
          <w:iCs/>
          <w:kern w:val="0"/>
          <w:sz w:val="24"/>
          <w:szCs w:val="28"/>
        </w:rPr>
        <w:t>47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 5122-5128.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华文楷体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8. Li Liang, Guo Peng, Li Ma, Lin Sun,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 xml:space="preserve">Hong Deng,*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Hong Li, and Weishan Li, A New Family of 3d−4f Heterometallic Tetrazole-based Coordination Frameworks: In Situ Tetrazole Ligand Synthesis, Structure, Luminescence, and Magnetic Properties,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 xml:space="preserve">Cryst. Growth Des.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2012, 1151-1158.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仿宋_GB2312" w:cs="TimesNewRomanPSMT"/>
          <w:kern w:val="0"/>
          <w:sz w:val="24"/>
          <w:szCs w:val="28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9. Guo Peng, Li Ma, Jinbiao Cai, Li Liang,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>Hong Deng,*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 George E.Kostakis, Influence of Alkali Metal Cation (Li(I), Na(I), K(I)) on the Construction of Chiral and Achiral Heterometallic Coordination Polymers 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>Cryst. Growth Des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 xml:space="preserve">.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2011, </w:t>
      </w:r>
      <w:r>
        <w:rPr>
          <w:rFonts w:ascii="Times New Roman" w:hAnsi="Times New Roman" w:eastAsia="仿宋_GB2312" w:cs="Times New Roman"/>
          <w:i/>
          <w:iCs/>
          <w:kern w:val="0"/>
          <w:sz w:val="24"/>
          <w:szCs w:val="28"/>
        </w:rPr>
        <w:t>11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 2485-2492.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Times New Roman" w:hAnsi="Times New Roman" w:eastAsia="仿宋_GB2312"/>
          <w:sz w:val="24"/>
        </w:rPr>
      </w:pP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10. Yongcai Qiu, Yinghua Li, Guo Peng, Jinbiao Cai, Limin Jin, Li Ma, and 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 xml:space="preserve">Hong Deng,*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Matthias Zeller, and Stuart R. Batten, “Cadmium Metal-Directed Three-Dimensional Coordination Polymers: In Situ TetrazoleLigand Synthesis, Structures, and Luminescent” Properties, </w:t>
      </w:r>
      <w:r>
        <w:rPr>
          <w:rFonts w:ascii="Times New Roman" w:hAnsi="Times New Roman" w:eastAsia="仿宋_GB2312" w:cs="Times New Roman"/>
          <w:b/>
          <w:bCs/>
          <w:i/>
          <w:iCs/>
          <w:kern w:val="0"/>
          <w:sz w:val="24"/>
          <w:szCs w:val="28"/>
        </w:rPr>
        <w:t>Cryst. Growth Des</w:t>
      </w:r>
      <w:r>
        <w:rPr>
          <w:rFonts w:ascii="Times New Roman" w:hAnsi="Times New Roman" w:eastAsia="仿宋_GB2312" w:cs="Times New Roman"/>
          <w:b/>
          <w:bCs/>
          <w:kern w:val="0"/>
          <w:sz w:val="24"/>
          <w:szCs w:val="28"/>
        </w:rPr>
        <w:t xml:space="preserve">. 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2010, </w:t>
      </w:r>
      <w:r>
        <w:rPr>
          <w:rFonts w:ascii="Times New Roman" w:hAnsi="Times New Roman" w:eastAsia="仿宋_GB2312" w:cs="Times New Roman"/>
          <w:i/>
          <w:iCs/>
          <w:kern w:val="0"/>
          <w:sz w:val="24"/>
          <w:szCs w:val="28"/>
        </w:rPr>
        <w:t>10</w:t>
      </w:r>
      <w:r>
        <w:rPr>
          <w:rFonts w:ascii="Times New Roman" w:hAnsi="Times New Roman" w:eastAsia="仿宋_GB2312" w:cs="TimesNewRomanPSMT"/>
          <w:kern w:val="0"/>
          <w:sz w:val="24"/>
          <w:szCs w:val="28"/>
        </w:rPr>
        <w:t xml:space="preserve">, 1324-1340. 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NewRomanPSMT">
    <w:altName w:val="Times New Roman"/>
    <w:panose1 w:val="00000000000000000000"/>
    <w:charset w:val="00"/>
    <w:family w:val="auto"/>
    <w:pitch w:val="default"/>
    <w:sig w:usb0="00000003" w:usb1="080E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E7AEA"/>
    <w:rsid w:val="002723C2"/>
    <w:rsid w:val="003E7AEA"/>
    <w:rsid w:val="007467CE"/>
    <w:rsid w:val="7E6A6C9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469</Words>
  <Characters>2677</Characters>
  <Lines>22</Lines>
  <Paragraphs>6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2014-11-23T13:35:00Z</dcterms:created>
  <dc:creator>dh</dc:creator>
  <cp:lastModifiedBy>Administrator</cp:lastModifiedBy>
  <dcterms:modified xsi:type="dcterms:W3CDTF">2015-01-13T08:06:59Z</dcterms:modified>
  <dc:title>邓洪教授简介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