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0" w:leftChars="0" w:firstLine="0" w:firstLineChars="0"/>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董志强教授简介</w:t>
      </w:r>
    </w:p>
    <w:p>
      <w:pPr>
        <w:spacing w:line="220" w:lineRule="atLeast"/>
        <w:jc w:val="center"/>
      </w:pPr>
      <w:bookmarkStart w:id="0" w:name="_GoBack"/>
      <w:bookmarkEnd w:id="0"/>
      <w:r>
        <w:rPr>
          <w:rFonts w:hint="eastAsia" w:ascii="Calibri" w:hAnsi="Calibri" w:eastAsia="宋体" w:cs="Times New Roman"/>
          <w:kern w:val="2"/>
          <w:sz w:val="21"/>
          <w:szCs w:val="22"/>
          <w:lang w:val="en-US" w:eastAsia="zh-CN" w:bidi="ar-SA"/>
        </w:rPr>
        <w:pict>
          <v:shape id="图片 0" o:spid="_x0000_s1027" type="#_x0000_t75" style="height:150.1pt;width:108.5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spacing w:line="360" w:lineRule="auto"/>
        <w:ind w:firstLine="560" w:firstLineChars="200"/>
        <w:jc w:val="left"/>
        <w:rPr>
          <w:rFonts w:hint="eastAsia" w:ascii="仿宋_GB2312" w:hAnsi="仿宋" w:eastAsia="仿宋_GB2312"/>
          <w:sz w:val="24"/>
          <w:szCs w:val="24"/>
        </w:rPr>
      </w:pPr>
      <w:r>
        <w:rPr>
          <w:rFonts w:hint="eastAsia" w:ascii="仿宋_GB2312" w:hAnsi="仿宋" w:eastAsia="仿宋_GB2312"/>
          <w:sz w:val="24"/>
          <w:szCs w:val="24"/>
        </w:rPr>
        <w:t>董志强博士现任华南师范大学经济学教授、博士生导师，经济与管理学院副院长，经济行为科学省重点实验室主任，广东省高校人文社科重点研究基地华南市场经济研究中心常务副主任，全国博弈论与实验经济研究会副理事长，广东省“千百十工程”省级培养对象先进个人，第十届广东省青联委员。曾留学新西兰Otago大学经济系。</w:t>
      </w:r>
    </w:p>
    <w:p>
      <w:pPr>
        <w:spacing w:line="360" w:lineRule="auto"/>
        <w:ind w:firstLine="560" w:firstLineChars="200"/>
        <w:rPr>
          <w:rFonts w:hint="eastAsia" w:ascii="仿宋_GB2312" w:hAnsi="仿宋" w:eastAsia="仿宋_GB2312"/>
          <w:sz w:val="24"/>
          <w:szCs w:val="24"/>
        </w:rPr>
      </w:pPr>
      <w:r>
        <w:rPr>
          <w:rFonts w:hint="eastAsia" w:ascii="仿宋_GB2312" w:hAnsi="仿宋" w:eastAsia="仿宋_GB2312"/>
          <w:sz w:val="24"/>
          <w:szCs w:val="24"/>
        </w:rPr>
        <w:t>董教授的研究涉及博弈论、微观发展经济学、劳动和产业经济学等多个领域。近年来尤其关注于人口与收入分配、行为实验和演化经济学，以及中国经济问题实证研究。研究成果见于《经济研究》、《管理世界》、《世界经济》、《统计研究》、《人口研究》、《中国管理科学》等经济和管理类期刊。出版有《人员管理的经济方法》、《合谋与公司治理》等专著，《经济决策概率模型》、《理性的边界》、《妙趣横生博弈论》等译著，共17部。主持国家自然科学基金项目、国家社会科学基金项目、教育部留学归国人员基金项目、教育部人文社科规划项目、广东省高校学科建设创新团队项目、省级社科规划项目、广东打造“理论粤军”重大项目等近20项。其科研成果曾获得省部级奖8项（包括国家原人事部奖1项、教育部奖2项、广东省政府奖4项、国家卫生和计划生育委员会奖1项），各类专业学会奖励近20项。</w:t>
      </w:r>
    </w:p>
    <w:p>
      <w:pPr>
        <w:spacing w:line="360" w:lineRule="auto"/>
        <w:ind w:firstLine="560" w:firstLineChars="200"/>
        <w:rPr>
          <w:rFonts w:hint="eastAsia" w:ascii="仿宋_GB2312" w:hAnsi="仿宋" w:eastAsia="仿宋_GB2312"/>
          <w:sz w:val="24"/>
          <w:szCs w:val="24"/>
        </w:rPr>
      </w:pPr>
      <w:r>
        <w:rPr>
          <w:rFonts w:hint="eastAsia" w:ascii="仿宋_GB2312" w:hAnsi="仿宋" w:eastAsia="仿宋_GB2312"/>
          <w:sz w:val="24"/>
          <w:szCs w:val="24"/>
        </w:rPr>
        <w:t>董教授还主持完成了大量的政府委托项目研究报告。比如广东省“十二五”规划实施中期评估、潮州市十二五规划研究、梅州市畲江新城园区产业构造及相关问题研究、佛山市环保产业发展研究、顺德产业转型升级问题和对策研究、（新疆）喀什及周边地区商贸流通发展规划研究等。</w:t>
      </w:r>
    </w:p>
    <w:p>
      <w:pPr>
        <w:spacing w:line="360" w:lineRule="auto"/>
        <w:ind w:firstLine="560" w:firstLineChars="200"/>
        <w:rPr>
          <w:rFonts w:hint="eastAsia" w:ascii="仿宋_GB2312" w:hAnsi="仿宋" w:eastAsia="仿宋_GB2312"/>
          <w:sz w:val="24"/>
          <w:szCs w:val="24"/>
        </w:rPr>
      </w:pPr>
      <w:r>
        <w:rPr>
          <w:rFonts w:hint="eastAsia" w:ascii="仿宋_GB2312" w:hAnsi="仿宋" w:eastAsia="仿宋_GB2312"/>
          <w:sz w:val="24"/>
          <w:szCs w:val="24"/>
        </w:rPr>
        <w:t>董教授在学术研究之余也撰写了大量的通俗文章发表于《读书》、《21世纪经济报道》等杂志和报刊。出版有通俗畅销作《身边的博弈》、《无知的博弈》、《经济思维》等，其中《身边的博弈》被誉为“华文媒体盛赞、读者好评如潮”的博弈论通俗作品，版权远销韩国和中国台湾等地，并获得教育部颁发第五届高校科学研究优秀成果奖（人文社会科学），入选广东省百种优秀社科理论读物。</w:t>
      </w:r>
    </w:p>
    <w:p>
      <w:pPr>
        <w:spacing w:line="360" w:lineRule="auto"/>
        <w:rPr>
          <w:rFonts w:hint="eastAsia" w:ascii="仿宋_GB2312" w:eastAsia="仿宋_GB2312"/>
          <w:sz w:val="24"/>
          <w:szCs w:val="24"/>
        </w:rPr>
      </w:pPr>
      <w:r>
        <w:rPr>
          <w:rFonts w:hint="eastAsia" w:ascii="仿宋_GB2312" w:hAnsi="仿宋_GB2312" w:eastAsia="仿宋_GB2312" w:cs="仿宋_GB2312"/>
          <w:color w:val="000000"/>
          <w:sz w:val="24"/>
          <w:szCs w:val="24"/>
          <w:lang w:val="en-US" w:eastAsia="zh-CN"/>
        </w:rPr>
        <w:t xml:space="preserve">    Email</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b w:val="0"/>
          <w:i w:val="0"/>
          <w:caps w:val="0"/>
          <w:color w:val="000000"/>
          <w:spacing w:val="0"/>
          <w:sz w:val="24"/>
          <w:szCs w:val="24"/>
          <w:shd w:val="clear" w:color="auto" w:fill="ECF9FF"/>
        </w:rPr>
        <w:t>dongzhiqiang@m.scnu.edu.cn</w:t>
      </w:r>
    </w:p>
    <w:sectPr>
      <w:headerReference r:id="rId4" w:type="default"/>
      <w:footerReference r:id="rId5" w:type="default"/>
      <w:pgSz w:w="11906" w:h="16838"/>
      <w:pgMar w:top="1440" w:right="1800" w:bottom="1440" w:left="1800" w:header="708" w:footer="708"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Times New Roman"/>
        <w:kern w:val="2"/>
        <w:sz w:val="18"/>
        <w:szCs w:val="22"/>
        <w:lang w:val="en-US" w:eastAsia="zh-CN" w:bidi="ar-SA"/>
      </w:rPr>
      <w:pict>
        <v:shape id="文本框 3"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spaceForUL/>
    <w:doNotLeaveBackslashAlone/>
    <w:ulTrailSpac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31D50"/>
    <w:rsid w:val="000446EB"/>
    <w:rsid w:val="00063B54"/>
    <w:rsid w:val="00237C45"/>
    <w:rsid w:val="00323B43"/>
    <w:rsid w:val="003D37D8"/>
    <w:rsid w:val="00426133"/>
    <w:rsid w:val="004358AB"/>
    <w:rsid w:val="004B58EC"/>
    <w:rsid w:val="006C46A7"/>
    <w:rsid w:val="007A712C"/>
    <w:rsid w:val="008B7726"/>
    <w:rsid w:val="009224E6"/>
    <w:rsid w:val="00D31D50"/>
    <w:rsid w:val="08CF6840"/>
    <w:rsid w:val="0B833CCD"/>
    <w:rsid w:val="21BB3AC9"/>
    <w:rsid w:val="5A2561DA"/>
    <w:rsid w:val="7A595A31"/>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7"/>
    <w:unhideWhenUsed/>
    <w:uiPriority w:val="99"/>
    <w:rPr>
      <w:sz w:val="18"/>
      <w:szCs w:val="18"/>
    </w:rPr>
  </w:style>
  <w:style w:type="paragraph" w:styleId="3">
    <w:name w:val="footer"/>
    <w:basedOn w:val="1"/>
    <w:unhideWhenUsed/>
    <w:uiPriority w:val="0"/>
    <w:pPr>
      <w:tabs>
        <w:tab w:val="center" w:pos="4153"/>
        <w:tab w:val="right" w:pos="8306"/>
      </w:tabs>
      <w:snapToGrid w:val="0"/>
      <w:jc w:val="left"/>
    </w:pPr>
    <w:rPr>
      <w:sz w:val="18"/>
    </w:rPr>
  </w:style>
  <w:style w:type="paragraph" w:styleId="4">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customStyle="1" w:styleId="7">
    <w:name w:val="批注框文本 Char"/>
    <w:basedOn w:val="5"/>
    <w:link w:val="2"/>
    <w:semiHidden/>
    <w:uiPriority w:val="99"/>
    <w:rPr>
      <w:rFonts w:eastAsia="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124</Words>
  <Characters>710</Characters>
  <Lines>5</Lines>
  <Paragraphs>1</Paragraphs>
  <ScaleCrop>false</ScaleCrop>
  <LinksUpToDate>false</LinksUpToDate>
  <CharactersWithSpaces>0</CharactersWithSpaces>
  <Application>WPS Office 个人版_9.1.0.4879_{F1E327BC-269C-435d-A152-05C5408002CA}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2014-12-16T09:01:16Z</dcterms:modified>
  <dc:title>董志强教授简介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2052-9.1.0.4879</vt:lpwstr>
  </property>
</Properties>
</file>