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CB2140">
      <w:pPr>
        <w:spacing w:after="156" w:afterLines="50" w:line="0" w:lineRule="atLeast"/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  <w:lang w:val="en-US" w:eastAsia="zh-CN"/>
        </w:rPr>
        <w:t>学位评定</w:t>
      </w:r>
      <w:r>
        <w:rPr>
          <w:rFonts w:hint="eastAsia" w:ascii="黑体" w:hAnsi="黑体" w:eastAsia="黑体"/>
          <w:b/>
          <w:bCs/>
          <w:sz w:val="44"/>
          <w:szCs w:val="44"/>
        </w:rPr>
        <w:t>分委员会表决不通过告知书（存根）</w:t>
      </w:r>
    </w:p>
    <w:tbl>
      <w:tblPr>
        <w:tblStyle w:val="3"/>
        <w:tblW w:w="9975" w:type="dxa"/>
        <w:tblInd w:w="-1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60"/>
        <w:gridCol w:w="2191"/>
        <w:gridCol w:w="2835"/>
        <w:gridCol w:w="3489"/>
      </w:tblGrid>
      <w:tr w14:paraId="6DAA9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460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BB2EDF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191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E69901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DA50E5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3489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E3FF6DB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B7BE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4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08934F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1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4ACC0B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45C866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34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382148D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0519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F89FCE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1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074AE0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D47083">
            <w:pPr>
              <w:spacing w:line="320" w:lineRule="exact"/>
              <w:ind w:firstLine="157" w:firstLineChars="75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已毕</w:t>
            </w:r>
            <w:r>
              <w:rPr>
                <w:rFonts w:hint="eastAsia" w:ascii="宋体" w:hAnsi="宋体"/>
                <w:szCs w:val="21"/>
              </w:rPr>
              <w:t>业</w:t>
            </w:r>
          </w:p>
        </w:tc>
        <w:tc>
          <w:tcPr>
            <w:tcW w:w="34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496F7DAF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是（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月）</w:t>
            </w:r>
          </w:p>
          <w:p w14:paraId="4FC5A829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否</w:t>
            </w:r>
          </w:p>
        </w:tc>
      </w:tr>
      <w:tr w14:paraId="78874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0" w:hRule="atLeast"/>
        </w:trPr>
        <w:tc>
          <w:tcPr>
            <w:tcW w:w="9975" w:type="dxa"/>
            <w:gridSpan w:val="4"/>
            <w:tcBorders>
              <w:top w:val="single" w:color="auto" w:sz="6" w:space="0"/>
              <w:left w:val="double" w:color="auto" w:sz="4" w:space="0"/>
              <w:right w:val="double" w:color="auto" w:sz="4" w:space="0"/>
            </w:tcBorders>
            <w:noWrap w:val="0"/>
            <w:vAlign w:val="center"/>
          </w:tcPr>
          <w:p w14:paraId="276500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65" w:firstLineChars="75"/>
              <w:jc w:val="left"/>
              <w:textAlignment w:val="auto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学位评定分委员会审议次数：□首次审议；□二次审议</w:t>
            </w:r>
          </w:p>
          <w:p w14:paraId="2337E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65" w:firstLineChars="75"/>
              <w:jc w:val="left"/>
              <w:textAlignment w:val="auto"/>
              <w:rPr>
                <w:rFonts w:hint="eastAsia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学位评定分委员会会议时间：</w:t>
            </w:r>
            <w:r>
              <w:rPr>
                <w:rFonts w:hint="eastAsia" w:ascii="宋体" w:hAnsi="宋体"/>
                <w:sz w:val="22"/>
                <w:szCs w:val="22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年</w:t>
            </w:r>
            <w:r>
              <w:rPr>
                <w:rFonts w:hint="eastAsia" w:ascii="宋体" w:hAnsi="宋体"/>
                <w:sz w:val="22"/>
                <w:szCs w:val="22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月</w:t>
            </w:r>
            <w:r>
              <w:rPr>
                <w:rFonts w:hint="eastAsia" w:ascii="宋体" w:hAnsi="宋体"/>
                <w:sz w:val="22"/>
                <w:szCs w:val="22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日</w:t>
            </w:r>
          </w:p>
          <w:p w14:paraId="282079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65" w:firstLineChars="75"/>
              <w:jc w:val="left"/>
              <w:textAlignment w:val="auto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表决结果：本次不同意授予学位</w:t>
            </w:r>
          </w:p>
          <w:p w14:paraId="25729E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65" w:firstLineChars="75"/>
              <w:jc w:val="left"/>
              <w:textAlignment w:val="auto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学位论文存在的主要问题包括但不限于：</w:t>
            </w:r>
            <w:r>
              <w:rPr>
                <w:rFonts w:hint="eastAsia" w:ascii="宋体" w:hAnsi="宋体"/>
                <w:color w:val="auto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color w:val="auto"/>
                <w:szCs w:val="21"/>
                <w:u w:val="single"/>
                <w:lang w:val="en-US" w:eastAsia="zh-CN"/>
              </w:rPr>
              <w:t xml:space="preserve">                                    </w:t>
            </w:r>
            <w:r>
              <w:rPr>
                <w:rFonts w:hint="eastAsia" w:ascii="宋体" w:hAnsi="宋体"/>
                <w:color w:val="auto"/>
                <w:szCs w:val="21"/>
                <w:u w:val="none"/>
                <w:lang w:val="en-US" w:eastAsia="zh-CN"/>
              </w:rPr>
              <w:t>（可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另附页</w:t>
            </w:r>
            <w:r>
              <w:rPr>
                <w:rFonts w:hint="eastAsia" w:ascii="宋体" w:hAnsi="宋体"/>
                <w:color w:val="auto"/>
                <w:szCs w:val="21"/>
                <w:u w:val="none"/>
                <w:lang w:val="en-US" w:eastAsia="zh-CN"/>
              </w:rPr>
              <w:t>）</w:t>
            </w:r>
          </w:p>
          <w:p w14:paraId="2C3FF0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65" w:firstLineChars="75"/>
              <w:jc w:val="left"/>
              <w:textAlignment w:val="auto"/>
              <w:rPr>
                <w:rFonts w:hint="eastAsia" w:ascii="宋体" w:hAnsi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处理意见：在符合学习年限规定的前提下，依据</w:t>
            </w:r>
            <w:r>
              <w:rPr>
                <w:rFonts w:hint="eastAsia" w:ascii="宋体" w:hAnsi="宋体"/>
                <w:sz w:val="22"/>
                <w:szCs w:val="22"/>
              </w:rPr>
              <w:t>《华南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师范</w:t>
            </w:r>
            <w:r>
              <w:rPr>
                <w:rFonts w:hint="eastAsia" w:ascii="宋体" w:hAnsi="宋体"/>
                <w:sz w:val="22"/>
                <w:szCs w:val="22"/>
              </w:rPr>
              <w:t>大学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硕士、博士学位授予工作实施细则</w:t>
            </w:r>
            <w:r>
              <w:rPr>
                <w:rFonts w:hint="eastAsia" w:ascii="宋体" w:hAnsi="宋体"/>
                <w:sz w:val="22"/>
                <w:szCs w:val="22"/>
              </w:rPr>
              <w:t>》</w:t>
            </w: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，</w:t>
            </w:r>
          </w:p>
          <w:p w14:paraId="358D15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157" w:firstLineChars="75"/>
              <w:textAlignment w:val="auto"/>
              <w:rPr>
                <w:rFonts w:hint="eastAsia" w:ascii="宋体" w:hAns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</w:rPr>
              <w:t>须于</w:t>
            </w:r>
            <w:r>
              <w:rPr>
                <w:rFonts w:hint="eastAsia" w:ascii="宋体" w:hAnsi="宋体"/>
                <w:color w:val="auto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color w:val="auto"/>
                <w:szCs w:val="21"/>
              </w:rPr>
              <w:t>年</w:t>
            </w:r>
            <w:r>
              <w:rPr>
                <w:rFonts w:hint="eastAsia" w:ascii="宋体" w:hAnsi="宋体"/>
                <w:color w:val="auto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auto"/>
                <w:szCs w:val="21"/>
                <w:u w:val="none"/>
                <w:lang w:val="en-US" w:eastAsia="zh-CN"/>
              </w:rPr>
              <w:t>季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学位申请批次，</w:t>
            </w:r>
            <w:r>
              <w:rPr>
                <w:rFonts w:hint="default" w:ascii="宋体" w:hAnsi="宋体" w:eastAsia="宋体" w:cs="Times New Roman"/>
                <w:color w:val="auto"/>
                <w:kern w:val="2"/>
                <w:sz w:val="21"/>
                <w:szCs w:val="21"/>
                <w:lang w:bidi="ar-SA"/>
              </w:rPr>
              <w:t>重新提交</w:t>
            </w:r>
            <w:r>
              <w:rPr>
                <w:rFonts w:hint="eastAsia" w:ascii="宋体" w:hAnsi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学位申请材料</w:t>
            </w:r>
            <w:r>
              <w:rPr>
                <w:rFonts w:hint="default" w:ascii="宋体" w:hAnsi="宋体" w:eastAsia="宋体" w:cs="Times New Roman"/>
                <w:color w:val="auto"/>
                <w:kern w:val="2"/>
                <w:sz w:val="21"/>
                <w:szCs w:val="21"/>
                <w:lang w:bidi="ar-SA"/>
              </w:rPr>
              <w:t>至学位评定分委员会审议</w:t>
            </w:r>
            <w:r>
              <w:rPr>
                <w:rFonts w:hint="eastAsia" w:ascii="宋体" w:hAnsi="宋体"/>
                <w:color w:val="auto"/>
                <w:szCs w:val="21"/>
              </w:rPr>
              <w:t>（是否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重新送专家评</w:t>
            </w:r>
          </w:p>
          <w:p w14:paraId="17CAC3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157" w:firstLineChars="75"/>
              <w:textAlignment w:val="auto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阅</w:t>
            </w:r>
            <w:r>
              <w:rPr>
                <w:rFonts w:hint="eastAsia" w:ascii="宋体" w:hAnsi="宋体"/>
                <w:color w:val="auto"/>
                <w:szCs w:val="21"/>
              </w:rPr>
              <w:t>：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color w:val="auto"/>
                <w:szCs w:val="21"/>
              </w:rPr>
              <w:t>是，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color w:val="auto"/>
                <w:szCs w:val="21"/>
              </w:rPr>
              <w:t>否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；</w:t>
            </w:r>
            <w:r>
              <w:rPr>
                <w:rFonts w:hint="eastAsia" w:ascii="宋体" w:hAnsi="宋体"/>
                <w:color w:val="auto"/>
                <w:szCs w:val="21"/>
              </w:rPr>
              <w:t>是否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重新</w:t>
            </w:r>
            <w:r>
              <w:rPr>
                <w:rFonts w:hint="eastAsia" w:ascii="宋体" w:hAnsi="宋体"/>
                <w:color w:val="auto"/>
                <w:szCs w:val="21"/>
              </w:rPr>
              <w:t>答辩：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color w:val="auto"/>
                <w:szCs w:val="21"/>
              </w:rPr>
              <w:t>是，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color w:val="auto"/>
                <w:szCs w:val="21"/>
              </w:rPr>
              <w:t>否），逾期视为放弃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本次</w:t>
            </w:r>
            <w:r>
              <w:rPr>
                <w:rFonts w:hint="eastAsia" w:ascii="宋体" w:hAnsi="宋体"/>
                <w:color w:val="auto"/>
                <w:szCs w:val="21"/>
              </w:rPr>
              <w:t>学位申请资格。</w:t>
            </w:r>
          </w:p>
          <w:p w14:paraId="7B6586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157" w:firstLineChars="75"/>
              <w:textAlignment w:val="auto"/>
              <w:rPr>
                <w:rFonts w:hint="eastAsia" w:ascii="宋体" w:hAnsi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</w:rPr>
              <w:t>须于</w:t>
            </w:r>
            <w:r>
              <w:rPr>
                <w:rFonts w:hint="eastAsia" w:ascii="宋体" w:hAnsi="宋体"/>
                <w:color w:val="auto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color w:val="auto"/>
                <w:szCs w:val="21"/>
              </w:rPr>
              <w:t>年</w:t>
            </w:r>
            <w:r>
              <w:rPr>
                <w:rFonts w:hint="eastAsia" w:ascii="宋体" w:hAnsi="宋体"/>
                <w:color w:val="auto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auto"/>
                <w:szCs w:val="21"/>
                <w:u w:val="none"/>
                <w:lang w:val="en-US" w:eastAsia="zh-CN"/>
              </w:rPr>
              <w:t>季至</w:t>
            </w:r>
            <w:r>
              <w:rPr>
                <w:rFonts w:hint="eastAsia" w:ascii="宋体" w:hAnsi="宋体"/>
                <w:color w:val="auto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color w:val="auto"/>
                <w:szCs w:val="21"/>
              </w:rPr>
              <w:t>年</w:t>
            </w:r>
            <w:r>
              <w:rPr>
                <w:rFonts w:hint="eastAsia" w:ascii="宋体" w:hAnsi="宋体"/>
                <w:color w:val="auto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auto"/>
                <w:szCs w:val="21"/>
                <w:u w:val="none"/>
                <w:lang w:val="en-US" w:eastAsia="zh-CN"/>
              </w:rPr>
              <w:t>季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学位申请批次期间内重新申请</w:t>
            </w:r>
            <w:r>
              <w:rPr>
                <w:rFonts w:hint="eastAsia" w:ascii="宋体" w:hAnsi="宋体"/>
                <w:color w:val="auto"/>
                <w:szCs w:val="21"/>
              </w:rPr>
              <w:t>学位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并完成授予程序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。</w:t>
            </w:r>
          </w:p>
          <w:p w14:paraId="5126DB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57" w:firstLineChars="75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须于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月前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重新</w:t>
            </w:r>
            <w:r>
              <w:rPr>
                <w:rFonts w:hint="eastAsia"/>
                <w:lang w:val="en-US" w:eastAsia="zh-CN"/>
              </w:rPr>
              <w:t>开题，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</w:t>
            </w:r>
            <w:r>
              <w:rPr>
                <w:rFonts w:hint="eastAsia" w:ascii="宋体" w:hAnsi="宋体"/>
                <w:szCs w:val="21"/>
              </w:rPr>
              <w:t>至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季学位申请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批次</w:t>
            </w:r>
            <w:r>
              <w:rPr>
                <w:rFonts w:hint="eastAsia" w:ascii="宋体" w:hAnsi="宋体"/>
                <w:szCs w:val="21"/>
              </w:rPr>
              <w:t>期间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内重新</w:t>
            </w:r>
            <w:r>
              <w:rPr>
                <w:rFonts w:hint="eastAsia"/>
              </w:rPr>
              <w:t>申请学位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并完成授予</w:t>
            </w:r>
          </w:p>
          <w:p w14:paraId="4699DE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57" w:firstLineChars="75"/>
              <w:jc w:val="both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程序。</w:t>
            </w:r>
          </w:p>
          <w:p w14:paraId="727BDA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57" w:firstLineChars="75"/>
              <w:jc w:val="both"/>
              <w:textAlignment w:val="auto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根据《华南师范大学学位授予管理办法》第十二条的有关规定，</w:t>
            </w:r>
            <w:r>
              <w:rPr>
                <w:rFonts w:hint="eastAsia" w:ascii="宋体" w:hAnsi="宋体"/>
                <w:color w:val="auto"/>
                <w:szCs w:val="21"/>
              </w:rPr>
              <w:t>不再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受理其学位</w:t>
            </w:r>
            <w:r>
              <w:rPr>
                <w:rFonts w:hint="eastAsia" w:ascii="宋体" w:hAnsi="宋体"/>
                <w:color w:val="auto"/>
                <w:szCs w:val="21"/>
              </w:rPr>
              <w:t>申请。</w:t>
            </w:r>
          </w:p>
          <w:p w14:paraId="0583BA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210" w:firstLineChars="100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经办人</w:t>
            </w:r>
            <w:r>
              <w:rPr>
                <w:rFonts w:hint="eastAsia" w:ascii="宋体" w:hAnsi="宋体"/>
                <w:szCs w:val="21"/>
              </w:rPr>
              <w:t xml:space="preserve">（签名）：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学位评定分委员会主席</w:t>
            </w:r>
            <w:r>
              <w:rPr>
                <w:rFonts w:hint="eastAsia" w:ascii="宋体" w:hAnsi="宋体"/>
                <w:szCs w:val="21"/>
              </w:rPr>
              <w:t>（签名）：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/>
                <w:szCs w:val="21"/>
              </w:rPr>
              <w:t xml:space="preserve">    年   月   日</w:t>
            </w:r>
          </w:p>
        </w:tc>
      </w:tr>
    </w:tbl>
    <w:p w14:paraId="1C371EFF">
      <w:pPr>
        <w:ind w:firstLine="560" w:firstLineChars="200"/>
        <w:rPr>
          <w:rFonts w:hint="eastAsia"/>
          <w:sz w:val="28"/>
          <w:szCs w:val="28"/>
        </w:rPr>
      </w:pPr>
      <w:r>
        <w:rPr>
          <w:sz w:val="28"/>
          <w:szCs w:val="28"/>
        </w:rPr>
        <w:t>学位申请人（签名）：</w:t>
      </w:r>
      <w:r>
        <w:rPr>
          <w:rFonts w:hint="eastAsia"/>
          <w:sz w:val="28"/>
          <w:szCs w:val="28"/>
        </w:rPr>
        <w:t xml:space="preserve">                 年  月  日</w:t>
      </w:r>
    </w:p>
    <w:p w14:paraId="7C232ACE"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                          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（撕开线，骑缝加盖</w:t>
      </w:r>
      <w:r>
        <w:rPr>
          <w:rFonts w:hint="eastAsia"/>
          <w:lang w:val="en-US" w:eastAsia="zh-CN"/>
        </w:rPr>
        <w:t>单位</w:t>
      </w:r>
      <w:r>
        <w:rPr>
          <w:rFonts w:hint="eastAsia"/>
        </w:rPr>
        <w:t>公章）          上联：</w:t>
      </w:r>
      <w:r>
        <w:rPr>
          <w:rFonts w:hint="eastAsia"/>
          <w:lang w:val="en-US" w:eastAsia="zh-CN"/>
        </w:rPr>
        <w:t>单位</w:t>
      </w:r>
      <w:r>
        <w:rPr>
          <w:rFonts w:hint="eastAsia"/>
        </w:rPr>
        <w:t>留存</w:t>
      </w:r>
    </w:p>
    <w:p w14:paraId="76A99E90">
      <w:pPr>
        <w:spacing w:before="156" w:beforeLines="50"/>
        <w:ind w:firstLine="420" w:firstLineChars="200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-450215</wp:posOffset>
                </wp:positionH>
                <wp:positionV relativeFrom="paragraph">
                  <wp:posOffset>39370</wp:posOffset>
                </wp:positionV>
                <wp:extent cx="7038975" cy="0"/>
                <wp:effectExtent l="0" t="12700" r="22225" b="1270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38975" cy="0"/>
                        </a:xfrm>
                        <a:prstGeom prst="straightConnector1">
                          <a:avLst/>
                        </a:prstGeom>
                        <a:ln w="254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45pt;margin-top:3.1pt;height:0pt;width:554.25pt;z-index:251659264;mso-width-relative:page;mso-height-relative:page;" filled="f" stroked="t" coordsize="21600,21600" o:gfxdata="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DRpgHNQAAAAIAQAADwAAAAAAAAABACAAAAAiAAAAZHJzL2Rvd25yZXYu&#10;eG1sUEsBAhQAFAAAAAgAh07iQPTsnp3/AQAA7AMAAA4AAAAAAAAAAQAgAAAAIwEAAGRycy9lMm9E&#10;b2MueG1sUEsFBgAAAAAGAAYAWQEAAJQFAAAAAA==&#10;">
                <v:fill on="f" focussize="0,0"/>
                <v:stroke weight="2pt"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下联：申请人留存</w:t>
      </w:r>
    </w:p>
    <w:p w14:paraId="57D66A97">
      <w:pPr>
        <w:spacing w:after="156" w:afterLines="50" w:line="0" w:lineRule="atLeast"/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  <w:lang w:val="en-US" w:eastAsia="zh-CN"/>
        </w:rPr>
        <w:t>学位评定</w:t>
      </w:r>
      <w:r>
        <w:rPr>
          <w:rFonts w:hint="eastAsia" w:ascii="黑体" w:hAnsi="黑体" w:eastAsia="黑体"/>
          <w:b/>
          <w:bCs/>
          <w:sz w:val="44"/>
          <w:szCs w:val="44"/>
        </w:rPr>
        <w:t>分委员会表决不通过告知书</w:t>
      </w:r>
    </w:p>
    <w:tbl>
      <w:tblPr>
        <w:tblStyle w:val="3"/>
        <w:tblW w:w="9929" w:type="dxa"/>
        <w:tblInd w:w="-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5"/>
        <w:gridCol w:w="2191"/>
        <w:gridCol w:w="2835"/>
        <w:gridCol w:w="3508"/>
      </w:tblGrid>
      <w:tr w14:paraId="7E134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395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9206A0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191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BBDC7E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145706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3508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2E1260DB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2BCF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exact"/>
        </w:trPr>
        <w:tc>
          <w:tcPr>
            <w:tcW w:w="1395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FDEF7D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1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7700E9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FE8A13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35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5004E7A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59BE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95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F8C7B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1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140C26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F32DC5">
            <w:pPr>
              <w:spacing w:line="320" w:lineRule="exact"/>
              <w:ind w:firstLine="157" w:firstLineChars="75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已毕</w:t>
            </w:r>
            <w:r>
              <w:rPr>
                <w:rFonts w:hint="eastAsia" w:ascii="宋体" w:hAnsi="宋体"/>
                <w:szCs w:val="21"/>
              </w:rPr>
              <w:t>业</w:t>
            </w:r>
          </w:p>
        </w:tc>
        <w:tc>
          <w:tcPr>
            <w:tcW w:w="35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470A0CD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是（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月）</w:t>
            </w:r>
          </w:p>
          <w:p w14:paraId="6E0B6D66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否</w:t>
            </w:r>
          </w:p>
        </w:tc>
      </w:tr>
      <w:tr w14:paraId="5135D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1" w:hRule="atLeast"/>
        </w:trPr>
        <w:tc>
          <w:tcPr>
            <w:tcW w:w="9929" w:type="dxa"/>
            <w:gridSpan w:val="4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4CEDF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65" w:firstLineChars="75"/>
              <w:jc w:val="left"/>
              <w:textAlignment w:val="auto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学位评定分委员会审议次数：□首次审议；□二次审议</w:t>
            </w:r>
          </w:p>
          <w:p w14:paraId="5DF987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65" w:firstLineChars="75"/>
              <w:jc w:val="left"/>
              <w:textAlignment w:val="auto"/>
              <w:rPr>
                <w:rFonts w:hint="eastAsia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学位评定分委员会会议时间：</w:t>
            </w:r>
            <w:r>
              <w:rPr>
                <w:rFonts w:hint="eastAsia" w:ascii="宋体" w:hAnsi="宋体"/>
                <w:sz w:val="22"/>
                <w:szCs w:val="22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年</w:t>
            </w:r>
            <w:r>
              <w:rPr>
                <w:rFonts w:hint="eastAsia" w:ascii="宋体" w:hAnsi="宋体"/>
                <w:sz w:val="22"/>
                <w:szCs w:val="22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月</w:t>
            </w:r>
            <w:r>
              <w:rPr>
                <w:rFonts w:hint="eastAsia" w:ascii="宋体" w:hAnsi="宋体"/>
                <w:sz w:val="22"/>
                <w:szCs w:val="22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日</w:t>
            </w:r>
          </w:p>
          <w:p w14:paraId="1342D1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65" w:firstLineChars="75"/>
              <w:jc w:val="left"/>
              <w:textAlignment w:val="auto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表决结果：本次不同意授予学位</w:t>
            </w:r>
          </w:p>
          <w:p w14:paraId="24156A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65" w:firstLineChars="75"/>
              <w:jc w:val="left"/>
              <w:textAlignment w:val="auto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学位论文存在的主要问题包括但不限于：</w:t>
            </w:r>
            <w:r>
              <w:rPr>
                <w:rFonts w:hint="eastAsia" w:ascii="宋体" w:hAnsi="宋体"/>
                <w:color w:val="auto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color w:val="auto"/>
                <w:szCs w:val="21"/>
                <w:u w:val="single"/>
                <w:lang w:val="en-US" w:eastAsia="zh-CN"/>
              </w:rPr>
              <w:t xml:space="preserve">                                    </w:t>
            </w:r>
            <w:r>
              <w:rPr>
                <w:rFonts w:hint="eastAsia" w:ascii="宋体" w:hAnsi="宋体"/>
                <w:color w:val="auto"/>
                <w:szCs w:val="21"/>
                <w:u w:val="none"/>
                <w:lang w:val="en-US" w:eastAsia="zh-CN"/>
              </w:rPr>
              <w:t>（可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另附页</w:t>
            </w:r>
            <w:r>
              <w:rPr>
                <w:rFonts w:hint="eastAsia" w:ascii="宋体" w:hAnsi="宋体"/>
                <w:color w:val="auto"/>
                <w:szCs w:val="21"/>
                <w:u w:val="none"/>
                <w:lang w:val="en-US" w:eastAsia="zh-CN"/>
              </w:rPr>
              <w:t>）</w:t>
            </w:r>
          </w:p>
          <w:p w14:paraId="261FC5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65" w:firstLineChars="75"/>
              <w:jc w:val="left"/>
              <w:textAlignment w:val="auto"/>
              <w:rPr>
                <w:rFonts w:hint="eastAsia" w:ascii="宋体" w:hAnsi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处理意见：在符合学习年限规定的前提下，依据</w:t>
            </w:r>
            <w:r>
              <w:rPr>
                <w:rFonts w:hint="eastAsia" w:ascii="宋体" w:hAnsi="宋体"/>
                <w:sz w:val="22"/>
                <w:szCs w:val="22"/>
              </w:rPr>
              <w:t>《华南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师范</w:t>
            </w:r>
            <w:r>
              <w:rPr>
                <w:rFonts w:hint="eastAsia" w:ascii="宋体" w:hAnsi="宋体"/>
                <w:sz w:val="22"/>
                <w:szCs w:val="22"/>
              </w:rPr>
              <w:t>大学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硕士、博士学位授予工作实施细则</w:t>
            </w:r>
            <w:r>
              <w:rPr>
                <w:rFonts w:hint="eastAsia" w:ascii="宋体" w:hAnsi="宋体"/>
                <w:sz w:val="22"/>
                <w:szCs w:val="22"/>
              </w:rPr>
              <w:t>》</w:t>
            </w: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，</w:t>
            </w:r>
          </w:p>
          <w:p w14:paraId="77260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157" w:firstLineChars="75"/>
              <w:textAlignment w:val="auto"/>
              <w:rPr>
                <w:rFonts w:hint="eastAsia" w:ascii="宋体" w:hAns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</w:rPr>
              <w:t>须于</w:t>
            </w:r>
            <w:r>
              <w:rPr>
                <w:rFonts w:hint="eastAsia" w:ascii="宋体" w:hAnsi="宋体"/>
                <w:color w:val="auto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color w:val="auto"/>
                <w:szCs w:val="21"/>
              </w:rPr>
              <w:t>年</w:t>
            </w:r>
            <w:r>
              <w:rPr>
                <w:rFonts w:hint="eastAsia" w:ascii="宋体" w:hAnsi="宋体"/>
                <w:color w:val="auto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auto"/>
                <w:szCs w:val="21"/>
                <w:u w:val="none"/>
                <w:lang w:val="en-US" w:eastAsia="zh-CN"/>
              </w:rPr>
              <w:t>季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学位申请批次，</w:t>
            </w:r>
            <w:r>
              <w:rPr>
                <w:rFonts w:hint="default" w:ascii="宋体" w:hAnsi="宋体" w:eastAsia="宋体" w:cs="Times New Roman"/>
                <w:color w:val="auto"/>
                <w:kern w:val="2"/>
                <w:sz w:val="21"/>
                <w:szCs w:val="21"/>
                <w:lang w:bidi="ar-SA"/>
              </w:rPr>
              <w:t>重新提交</w:t>
            </w:r>
            <w:r>
              <w:rPr>
                <w:rFonts w:hint="eastAsia" w:ascii="宋体" w:hAnsi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学位申请材料</w:t>
            </w:r>
            <w:r>
              <w:rPr>
                <w:rFonts w:hint="default" w:ascii="宋体" w:hAnsi="宋体" w:eastAsia="宋体" w:cs="Times New Roman"/>
                <w:color w:val="auto"/>
                <w:kern w:val="2"/>
                <w:sz w:val="21"/>
                <w:szCs w:val="21"/>
                <w:lang w:bidi="ar-SA"/>
              </w:rPr>
              <w:t>至学位评定分委员会审议</w:t>
            </w:r>
            <w:r>
              <w:rPr>
                <w:rFonts w:hint="eastAsia" w:ascii="宋体" w:hAnsi="宋体"/>
                <w:color w:val="auto"/>
                <w:szCs w:val="21"/>
              </w:rPr>
              <w:t>（是否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重新送专家评</w:t>
            </w:r>
          </w:p>
          <w:p w14:paraId="4128E6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157" w:firstLineChars="75"/>
              <w:textAlignment w:val="auto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阅</w:t>
            </w:r>
            <w:r>
              <w:rPr>
                <w:rFonts w:hint="eastAsia" w:ascii="宋体" w:hAnsi="宋体"/>
                <w:color w:val="auto"/>
                <w:szCs w:val="21"/>
              </w:rPr>
              <w:t>：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color w:val="auto"/>
                <w:szCs w:val="21"/>
              </w:rPr>
              <w:t>是，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color w:val="auto"/>
                <w:szCs w:val="21"/>
              </w:rPr>
              <w:t>否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；</w:t>
            </w:r>
            <w:r>
              <w:rPr>
                <w:rFonts w:hint="eastAsia" w:ascii="宋体" w:hAnsi="宋体"/>
                <w:color w:val="auto"/>
                <w:szCs w:val="21"/>
              </w:rPr>
              <w:t>是否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重新</w:t>
            </w:r>
            <w:r>
              <w:rPr>
                <w:rFonts w:hint="eastAsia" w:ascii="宋体" w:hAnsi="宋体"/>
                <w:color w:val="auto"/>
                <w:szCs w:val="21"/>
              </w:rPr>
              <w:t>答辩：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color w:val="auto"/>
                <w:szCs w:val="21"/>
              </w:rPr>
              <w:t>是，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color w:val="auto"/>
                <w:szCs w:val="21"/>
              </w:rPr>
              <w:t>否），逾期视为放弃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本次</w:t>
            </w:r>
            <w:r>
              <w:rPr>
                <w:rFonts w:hint="eastAsia" w:ascii="宋体" w:hAnsi="宋体"/>
                <w:color w:val="auto"/>
                <w:szCs w:val="21"/>
              </w:rPr>
              <w:t>学位申请资格。</w:t>
            </w:r>
          </w:p>
          <w:p w14:paraId="6247C7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157" w:firstLineChars="75"/>
              <w:textAlignment w:val="auto"/>
              <w:rPr>
                <w:rFonts w:hint="eastAsia" w:ascii="宋体" w:hAnsi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</w:rPr>
              <w:t>须于</w:t>
            </w:r>
            <w:r>
              <w:rPr>
                <w:rFonts w:hint="eastAsia" w:ascii="宋体" w:hAnsi="宋体"/>
                <w:color w:val="auto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color w:val="auto"/>
                <w:szCs w:val="21"/>
              </w:rPr>
              <w:t>年</w:t>
            </w:r>
            <w:r>
              <w:rPr>
                <w:rFonts w:hint="eastAsia" w:ascii="宋体" w:hAnsi="宋体"/>
                <w:color w:val="auto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auto"/>
                <w:szCs w:val="21"/>
                <w:u w:val="none"/>
                <w:lang w:val="en-US" w:eastAsia="zh-CN"/>
              </w:rPr>
              <w:t>季至</w:t>
            </w:r>
            <w:r>
              <w:rPr>
                <w:rFonts w:hint="eastAsia" w:ascii="宋体" w:hAnsi="宋体"/>
                <w:color w:val="auto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color w:val="auto"/>
                <w:szCs w:val="21"/>
              </w:rPr>
              <w:t>年</w:t>
            </w:r>
            <w:r>
              <w:rPr>
                <w:rFonts w:hint="eastAsia" w:ascii="宋体" w:hAnsi="宋体"/>
                <w:color w:val="auto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auto"/>
                <w:szCs w:val="21"/>
                <w:u w:val="none"/>
                <w:lang w:val="en-US" w:eastAsia="zh-CN"/>
              </w:rPr>
              <w:t>季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学位申请批次期间内重新申请</w:t>
            </w:r>
            <w:r>
              <w:rPr>
                <w:rFonts w:hint="eastAsia" w:ascii="宋体" w:hAnsi="宋体"/>
                <w:color w:val="auto"/>
                <w:szCs w:val="21"/>
              </w:rPr>
              <w:t>学位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并完成授予程序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。</w:t>
            </w:r>
          </w:p>
          <w:p w14:paraId="105D54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57" w:firstLineChars="75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须于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月前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重新</w:t>
            </w:r>
            <w:r>
              <w:rPr>
                <w:rFonts w:hint="eastAsia"/>
                <w:lang w:val="en-US" w:eastAsia="zh-CN"/>
              </w:rPr>
              <w:t>开题，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</w:t>
            </w:r>
            <w:r>
              <w:rPr>
                <w:rFonts w:hint="eastAsia" w:ascii="宋体" w:hAnsi="宋体"/>
                <w:szCs w:val="21"/>
              </w:rPr>
              <w:t>至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季学位申请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批次</w:t>
            </w:r>
            <w:r>
              <w:rPr>
                <w:rFonts w:hint="eastAsia" w:ascii="宋体" w:hAnsi="宋体"/>
                <w:szCs w:val="21"/>
              </w:rPr>
              <w:t>期间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内重新</w:t>
            </w:r>
            <w:r>
              <w:rPr>
                <w:rFonts w:hint="eastAsia"/>
              </w:rPr>
              <w:t>申请学位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并完成授予</w:t>
            </w:r>
          </w:p>
          <w:p w14:paraId="54D27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57" w:firstLineChars="75"/>
              <w:jc w:val="both"/>
              <w:textAlignment w:val="auto"/>
              <w:rPr>
                <w:rFonts w:hint="eastAsia" w:ascii="宋体" w:hAnsi="宋体"/>
                <w:color w:val="auto"/>
                <w:szCs w:val="21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程序。</w:t>
            </w:r>
          </w:p>
          <w:p w14:paraId="2E11D8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57" w:firstLineChars="75"/>
              <w:jc w:val="both"/>
              <w:textAlignment w:val="auto"/>
              <w:rPr>
                <w:rFonts w:hint="eastAsia" w:ascii="宋体" w:hAnsi="宋体"/>
                <w:color w:val="auto"/>
                <w:sz w:val="16"/>
                <w:szCs w:val="16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根据《华南师范大学学位授予管理办法》第十二条的有关规定，</w:t>
            </w:r>
            <w:r>
              <w:rPr>
                <w:rFonts w:hint="eastAsia" w:ascii="宋体" w:hAnsi="宋体"/>
                <w:color w:val="auto"/>
                <w:szCs w:val="21"/>
              </w:rPr>
              <w:t>不再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受理其学位</w:t>
            </w:r>
            <w:r>
              <w:rPr>
                <w:rFonts w:hint="eastAsia" w:ascii="宋体" w:hAnsi="宋体"/>
                <w:color w:val="auto"/>
                <w:szCs w:val="21"/>
              </w:rPr>
              <w:t>申请。</w:t>
            </w:r>
          </w:p>
          <w:p w14:paraId="351C7B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122" w:rightChars="58" w:firstLine="210" w:firstLineChars="100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经办人</w:t>
            </w:r>
            <w:r>
              <w:rPr>
                <w:rFonts w:hint="eastAsia" w:ascii="宋体" w:hAnsi="宋体"/>
                <w:szCs w:val="21"/>
              </w:rPr>
              <w:t xml:space="preserve">（签名）：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学位评定分委员会主席</w:t>
            </w:r>
            <w:r>
              <w:rPr>
                <w:rFonts w:hint="eastAsia" w:ascii="宋体" w:hAnsi="宋体"/>
                <w:szCs w:val="21"/>
              </w:rPr>
              <w:t>（签名）：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/>
                <w:szCs w:val="21"/>
              </w:rPr>
              <w:t xml:space="preserve">    年   月   日</w:t>
            </w:r>
          </w:p>
        </w:tc>
      </w:tr>
    </w:tbl>
    <w:p w14:paraId="728D9E98"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学位申请人（签名）：</w:t>
      </w:r>
      <w:r>
        <w:rPr>
          <w:rFonts w:hint="eastAsia"/>
          <w:sz w:val="28"/>
          <w:szCs w:val="28"/>
        </w:rPr>
        <w:t xml:space="preserve">                 年  月  日</w:t>
      </w:r>
    </w:p>
    <w:sectPr>
      <w:footerReference r:id="rId3" w:type="default"/>
      <w:footerReference r:id="rId4" w:type="even"/>
      <w:pgSz w:w="11906" w:h="16838"/>
      <w:pgMar w:top="284" w:right="1021" w:bottom="284" w:left="1021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DFAEFC"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2</w:t>
    </w:r>
    <w:r>
      <w:rPr>
        <w:rStyle w:val="5"/>
      </w:rPr>
      <w:fldChar w:fldCharType="end"/>
    </w:r>
  </w:p>
  <w:p w14:paraId="5977A081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DD64B3"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745E7D8D"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FA8F3B"/>
    <w:rsid w:val="037B196F"/>
    <w:rsid w:val="06CD4659"/>
    <w:rsid w:val="06E903EE"/>
    <w:rsid w:val="0B781E1F"/>
    <w:rsid w:val="0CAE6AEC"/>
    <w:rsid w:val="119D6F55"/>
    <w:rsid w:val="170D50FE"/>
    <w:rsid w:val="17856AB8"/>
    <w:rsid w:val="17B76302"/>
    <w:rsid w:val="17B96D57"/>
    <w:rsid w:val="187F72BD"/>
    <w:rsid w:val="1A866FEF"/>
    <w:rsid w:val="1AE94FB9"/>
    <w:rsid w:val="1C402ACC"/>
    <w:rsid w:val="1C44694B"/>
    <w:rsid w:val="21D9026F"/>
    <w:rsid w:val="222948BE"/>
    <w:rsid w:val="22A51A3A"/>
    <w:rsid w:val="23496F3C"/>
    <w:rsid w:val="2A5C5D34"/>
    <w:rsid w:val="2AF459E0"/>
    <w:rsid w:val="2B096AB6"/>
    <w:rsid w:val="317258B0"/>
    <w:rsid w:val="33C87A09"/>
    <w:rsid w:val="34B72D48"/>
    <w:rsid w:val="35F93F25"/>
    <w:rsid w:val="379A790F"/>
    <w:rsid w:val="3AC84793"/>
    <w:rsid w:val="3AEE2E19"/>
    <w:rsid w:val="3BFBBB3F"/>
    <w:rsid w:val="3FAC31A6"/>
    <w:rsid w:val="3FD1776A"/>
    <w:rsid w:val="400E7381"/>
    <w:rsid w:val="44113C23"/>
    <w:rsid w:val="456D319A"/>
    <w:rsid w:val="494D4BD9"/>
    <w:rsid w:val="4C6B476D"/>
    <w:rsid w:val="4E1F5826"/>
    <w:rsid w:val="512F0C70"/>
    <w:rsid w:val="52A42F98"/>
    <w:rsid w:val="54420754"/>
    <w:rsid w:val="55D528EB"/>
    <w:rsid w:val="57325016"/>
    <w:rsid w:val="578F2469"/>
    <w:rsid w:val="57DF1D82"/>
    <w:rsid w:val="58346A24"/>
    <w:rsid w:val="59E84F03"/>
    <w:rsid w:val="5B8108CA"/>
    <w:rsid w:val="5B834092"/>
    <w:rsid w:val="5D181A23"/>
    <w:rsid w:val="633725E1"/>
    <w:rsid w:val="639F3A33"/>
    <w:rsid w:val="66AD43B3"/>
    <w:rsid w:val="6AED1528"/>
    <w:rsid w:val="6AFA8F3B"/>
    <w:rsid w:val="6BD24AE6"/>
    <w:rsid w:val="6C5364BF"/>
    <w:rsid w:val="700718D5"/>
    <w:rsid w:val="70D612A6"/>
    <w:rsid w:val="71881E8A"/>
    <w:rsid w:val="724D597F"/>
    <w:rsid w:val="72AA7ADA"/>
    <w:rsid w:val="72B11A2E"/>
    <w:rsid w:val="771B3497"/>
    <w:rsid w:val="794C029F"/>
    <w:rsid w:val="79634905"/>
    <w:rsid w:val="7AE069B4"/>
    <w:rsid w:val="7CD10A13"/>
    <w:rsid w:val="7DDF3069"/>
    <w:rsid w:val="7EF00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861</Words>
  <Characters>861</Characters>
  <Lines>0</Lines>
  <Paragraphs>0</Paragraphs>
  <TotalTime>1</TotalTime>
  <ScaleCrop>false</ScaleCrop>
  <LinksUpToDate>false</LinksUpToDate>
  <CharactersWithSpaces>1287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2025-02-06T06:25:00Z</dcterms:created>
  <dc:creator>咕咕</dc:creator>
  <cp:lastModifiedBy>咕咕</cp:lastModifiedBy>
  <dcterms:modified xsi:type="dcterms:W3CDTF">2025-07-03T01:27:48Z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393D6805483448B898DBAD4B40EE854D_13</vt:lpwstr>
  </property>
  <property fmtid="{D5CDD505-2E9C-101B-9397-08002B2CF9AE}" pid="4" name="KSOTemplateDocerSaveRecord">
    <vt:lpwstr>eyJoZGlkIjoiMDVkZjU4ZTBmZDIxYTYxOGJjNDFhY2FhNzQ4ZWYxNjEiLCJ1c2VySWQiOiI0NjQ3MTAxMjYifQ==</vt:lpwstr>
  </property>
</Properties>
</file>