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7FA11">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96" w:beforeAutospacing="0" w:after="96" w:afterAutospacing="0"/>
        <w:ind w:right="0" w:rightChars="0"/>
        <w:textAlignment w:val="auto"/>
        <w:rPr>
          <w:rFonts w:hint="eastAsia" w:ascii="仿宋_GB2312" w:hAnsi="仿宋_GB2312" w:eastAsia="仿宋_GB2312" w:cs="仿宋_GB2312"/>
          <w:i w:val="0"/>
          <w:iCs w:val="0"/>
          <w:caps w:val="0"/>
          <w:color w:val="0F1115"/>
          <w:spacing w:val="0"/>
          <w:sz w:val="32"/>
          <w:szCs w:val="32"/>
          <w:lang w:eastAsia="zh"/>
        </w:rPr>
      </w:pP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附件2. </w:t>
      </w:r>
    </w:p>
    <w:p w14:paraId="5E1451D5">
      <w:pPr>
        <w:snapToGrid w:val="0"/>
        <w:jc w:val="center"/>
        <w:rPr>
          <w:rFonts w:ascii="Times New Roman" w:hAnsi="Times New Roman" w:eastAsia="宋体" w:cs="Times New Roman"/>
          <w:color w:val="000000" w:themeColor="text1"/>
          <w:sz w:val="28"/>
          <w:szCs w:val="28"/>
          <w14:textFill>
            <w14:solidFill>
              <w14:schemeClr w14:val="tx1"/>
            </w14:solidFill>
          </w14:textFill>
        </w:rPr>
      </w:pPr>
    </w:p>
    <w:p w14:paraId="729ABF66">
      <w:pPr>
        <w:snapToGrid w:val="0"/>
        <w:jc w:val="cente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《英语科研写作与学术交流》</w:t>
      </w:r>
    </w:p>
    <w:p w14:paraId="236752B6">
      <w:pPr>
        <w:snapToGrid w:val="0"/>
        <w:spacing w:before="120" w:beforeLines="50" w:after="120" w:afterLines="50"/>
        <w:jc w:val="center"/>
        <w:rPr>
          <w:rFonts w:ascii="Times New Roman" w:hAnsi="Times New Roman" w:eastAsia="宋体" w:cs="Times New Roman"/>
          <w:b/>
          <w:color w:val="000000" w:themeColor="text1"/>
          <w:sz w:val="36"/>
          <w:szCs w:val="28"/>
          <w14:textFill>
            <w14:solidFill>
              <w14:schemeClr w14:val="tx1"/>
            </w14:solidFill>
          </w14:textFill>
        </w:rPr>
      </w:pPr>
      <w:r>
        <w:rPr>
          <w:rFonts w:ascii="Times New Roman" w:hAnsi="Times New Roman" w:eastAsia="宋体" w:cs="Times New Roman"/>
          <w:b/>
          <w:color w:val="000000" w:themeColor="text1"/>
          <w:sz w:val="36"/>
          <w:szCs w:val="28"/>
          <w14:textFill>
            <w14:solidFill>
              <w14:schemeClr w14:val="tx1"/>
            </w14:solidFill>
          </w14:textFill>
        </w:rPr>
        <w:t>课程实施说明</w:t>
      </w:r>
    </w:p>
    <w:p w14:paraId="6B64FBFD">
      <w:pPr>
        <w:snapToGrid w:val="0"/>
        <w:spacing w:line="360" w:lineRule="auto"/>
        <w:jc w:val="cente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（2026年</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6</w:t>
      </w:r>
      <w:r>
        <w:rPr>
          <w:rFonts w:ascii="Times New Roman" w:hAnsi="Times New Roman" w:eastAsia="宋体" w:cs="Times New Roman"/>
          <w:color w:val="000000" w:themeColor="text1"/>
          <w:sz w:val="28"/>
          <w:szCs w:val="28"/>
          <w14:textFill>
            <w14:solidFill>
              <w14:schemeClr w14:val="tx1"/>
            </w14:solidFill>
          </w14:textFill>
        </w:rPr>
        <w:t>月</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ascii="Times New Roman" w:hAnsi="Times New Roman" w:eastAsia="宋体" w:cs="Times New Roman"/>
          <w:color w:val="000000" w:themeColor="text1"/>
          <w:sz w:val="28"/>
          <w:szCs w:val="28"/>
          <w14:textFill>
            <w14:solidFill>
              <w14:schemeClr w14:val="tx1"/>
            </w14:solidFill>
          </w14:textFill>
        </w:rPr>
        <w:t>日征求意见稿）</w:t>
      </w:r>
    </w:p>
    <w:p w14:paraId="00B9AE79">
      <w:pPr>
        <w:spacing w:before="120" w:after="120" w:line="288"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本课程紧扣新时代国家研究生教育高质量发展、高层次创新人才国际化培养战略要求，深度对接华南师范大学“十五五”事业发展规划育人目标，立足粤港澳大湾区高等教育协同融合发展大局，由华南师范大学牵头研制，联合香港大学、中山大学、暨南大学、香港</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科技</w:t>
      </w:r>
      <w:r>
        <w:rPr>
          <w:rFonts w:ascii="Times New Roman" w:hAnsi="Times New Roman" w:eastAsia="宋体" w:cs="Times New Roman"/>
          <w:color w:val="000000" w:themeColor="text1"/>
          <w:sz w:val="28"/>
          <w:szCs w:val="28"/>
          <w14:textFill>
            <w14:solidFill>
              <w14:schemeClr w14:val="tx1"/>
            </w14:solidFill>
          </w14:textFill>
        </w:rPr>
        <w:t>大学（广州）、香港浸会大学等大湾区一流高校专家团队协同开发，整合湾区高校在学术英语教育、学科科研培育、国际学术交流等领域的优质师资与教研资源，构建大湾区理工科博士生专业化、智能化科研写作特色课程。</w:t>
      </w:r>
    </w:p>
    <w:p w14:paraId="610626CE">
      <w:pPr>
        <w:spacing w:before="320" w:after="120" w:line="288" w:lineRule="auto"/>
        <w:ind w:left="140" w:firstLine="420"/>
        <w:outlineLvl w:val="1"/>
        <w:rPr>
          <w:rFonts w:ascii="Times New Roman" w:hAnsi="Times New Roman" w:eastAsia="宋体" w:cs="Times New Roman"/>
          <w:b/>
          <w:color w:val="000000" w:themeColor="text1"/>
          <w:sz w:val="32"/>
          <w:szCs w:val="28"/>
          <w14:textFill>
            <w14:solidFill>
              <w14:schemeClr w14:val="tx1"/>
            </w14:solidFill>
          </w14:textFill>
        </w:rPr>
      </w:pPr>
      <w:bookmarkStart w:id="0" w:name="heading_0"/>
      <w:r>
        <w:rPr>
          <w:rFonts w:ascii="Times New Roman" w:hAnsi="Times New Roman" w:eastAsia="宋体" w:cs="Times New Roman"/>
          <w:b/>
          <w:color w:val="000000" w:themeColor="text1"/>
          <w:sz w:val="32"/>
          <w:szCs w:val="28"/>
          <w14:textFill>
            <w14:solidFill>
              <w14:schemeClr w14:val="tx1"/>
            </w14:solidFill>
          </w14:textFill>
        </w:rPr>
        <w:t>一、课程</w:t>
      </w:r>
      <w:bookmarkEnd w:id="0"/>
      <w:r>
        <w:rPr>
          <w:rFonts w:ascii="Times New Roman" w:hAnsi="Times New Roman" w:eastAsia="宋体" w:cs="Times New Roman"/>
          <w:b/>
          <w:color w:val="000000" w:themeColor="text1"/>
          <w:sz w:val="32"/>
          <w:szCs w:val="28"/>
          <w14:textFill>
            <w14:solidFill>
              <w14:schemeClr w14:val="tx1"/>
            </w14:solidFill>
          </w14:textFill>
        </w:rPr>
        <w:t>体系与教学内容</w:t>
      </w:r>
    </w:p>
    <w:p w14:paraId="51912DAC">
      <w:pPr>
        <w:spacing w:before="120" w:after="120" w:line="288"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（一）课程定位</w:t>
      </w:r>
    </w:p>
    <w:p w14:paraId="3CD51DFD">
      <w:pPr>
        <w:spacing w:before="120" w:after="120" w:line="288"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本课程由研究生院统筹组织实施，负责整体课程方案设计、线上AI课程建设协调、教学进度安排、考核规则制定以及与各培养学院的教学衔接。课程旨在系统提升学校博士生科研写作与国际学术交流能力和优化学校层面相关课程资源的统筹配置。当前，各培养学院承担着博士生专业培养的核心任务，在专业科研训练和学科前沿引领方面具有不可替代的优势。与此同时，博士生在通用科研写作规范、学术英语表达等基础能力方面的培养需求大、覆盖面广。为更好地发挥学院专业育人优势，研究生院拟统一建设线上AI课程，将英语科研写作中的通用知识、基础规范和常见训练内容进行系统整合与智能支持，为各学院提供基础性、共享型课程资源，使学科教师能够更聚焦于专业化拓展、真实科研任务指导和前沿发表经验转化。</w:t>
      </w:r>
    </w:p>
    <w:p w14:paraId="588F6475">
      <w:pPr>
        <w:spacing w:before="120" w:after="120" w:line="288"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课程面向全校理工科博士研究生开设，聚焦博士生科研论文规范撰写、高水平成果发表、国际化学术交流三大核心能力，着力破解当前研究生培养中“科研能力突出、学术表达薄弱、成果传播不足”的共性痛点。课程创新构建</w:t>
      </w:r>
      <w:r>
        <w:rPr>
          <w:rFonts w:ascii="Times New Roman" w:hAnsi="Times New Roman" w:eastAsia="宋体" w:cs="Times New Roman"/>
          <w:b/>
          <w:color w:val="000000" w:themeColor="text1"/>
          <w:sz w:val="28"/>
          <w:szCs w:val="28"/>
          <w14:textFill>
            <w14:solidFill>
              <w14:schemeClr w14:val="tx1"/>
            </w14:solidFill>
          </w14:textFill>
        </w:rPr>
        <w:t>语言教师+学科教师跨学科协同育人</w:t>
      </w:r>
      <w:r>
        <w:rPr>
          <w:rFonts w:ascii="Times New Roman" w:hAnsi="Times New Roman" w:eastAsia="宋体" w:cs="Times New Roman"/>
          <w:color w:val="000000" w:themeColor="text1"/>
          <w:sz w:val="28"/>
          <w:szCs w:val="28"/>
          <w14:textFill>
            <w14:solidFill>
              <w14:schemeClr w14:val="tx1"/>
            </w14:solidFill>
          </w14:textFill>
        </w:rPr>
        <w:t>机制，融合湾区高校语言教学团队的学术语篇规范、跨文化传播优势与学科科研团队的前沿科研、期刊评审、成果发表实践优势，形成“通用语言赋能、学科专业落地、湾区资源联动”的特色育人模式，旨在全面夯实博士生国际化学术素养，助力学校提升高层次人才培养质量与学科国际影响力。</w:t>
      </w:r>
    </w:p>
    <w:p w14:paraId="37D7DC0A">
      <w:pPr>
        <w:spacing w:before="120" w:after="120" w:line="288" w:lineRule="auto"/>
        <w:ind w:firstLine="562" w:firstLineChars="200"/>
        <w:rPr>
          <w:rFonts w:ascii="Times New Roman" w:hAnsi="Times New Roman" w:eastAsia="宋体" w:cs="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（二）课程模块</w:t>
      </w:r>
    </w:p>
    <w:p w14:paraId="07272E7D">
      <w:pPr>
        <w:spacing w:before="120" w:after="120" w:line="288"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本课程采用</w:t>
      </w:r>
      <w:r>
        <w:rPr>
          <w:rFonts w:ascii="Times New Roman" w:hAnsi="Times New Roman" w:eastAsia="宋体" w:cs="Times New Roman"/>
          <w:b/>
          <w:color w:val="000000" w:themeColor="text1"/>
          <w:sz w:val="28"/>
          <w:szCs w:val="28"/>
          <w14:textFill>
            <w14:solidFill>
              <w14:schemeClr w14:val="tx1"/>
            </w14:solidFill>
          </w14:textFill>
        </w:rPr>
        <w:t>线上智能化自主学习—线下学科化实践赋能</w:t>
      </w:r>
      <w:r>
        <w:rPr>
          <w:rFonts w:ascii="Times New Roman" w:hAnsi="Times New Roman" w:eastAsia="宋体" w:cs="Times New Roman"/>
          <w:color w:val="000000" w:themeColor="text1"/>
          <w:sz w:val="28"/>
          <w:szCs w:val="28"/>
          <w14:textFill>
            <w14:solidFill>
              <w14:schemeClr w14:val="tx1"/>
            </w14:solidFill>
          </w14:textFill>
        </w:rPr>
        <w:t>的阶梯式融合教学模式，线上课程体系设置三大递进式教学模块，共计15讲，单讲时长45分钟，覆盖科研思维塑造、论文实操撰写、学术成果传播全流程，形成体系完整、逻辑闭环的课程内容架构。</w:t>
      </w:r>
    </w:p>
    <w:p w14:paraId="38E91F05">
      <w:pPr>
        <w:pStyle w:val="7"/>
        <w:numPr>
          <w:ilvl w:val="0"/>
          <w:numId w:val="1"/>
        </w:numPr>
        <w:spacing w:before="120" w:after="120" w:line="288" w:lineRule="auto"/>
        <w:ind w:firstLineChars="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模块一：讲好科研故事，夯实学术基础（第1-5讲）</w:t>
      </w:r>
      <w:r>
        <w:rPr>
          <w:rFonts w:ascii="Times New Roman" w:hAnsi="Times New Roman" w:eastAsia="宋体" w:cs="Times New Roman"/>
          <w:color w:val="000000" w:themeColor="text1"/>
          <w:sz w:val="28"/>
          <w:szCs w:val="28"/>
          <w14:textFill>
            <w14:solidFill>
              <w14:schemeClr w14:val="tx1"/>
            </w14:solidFill>
          </w14:textFill>
        </w:rPr>
        <w:t>。聚焦科研写作底层思维培育，系统讲解科研写作基本原理、学术语篇逻辑建构、精准化学术表达、国内外通用引用规范、AI科研写作伦理与合规准则等基础内容，帮助博士生建立规范化、科学化的学术写作思维体系，筑牢科研表达根基。</w:t>
      </w:r>
    </w:p>
    <w:p w14:paraId="5F2D3159">
      <w:pPr>
        <w:pStyle w:val="7"/>
        <w:numPr>
          <w:ilvl w:val="0"/>
          <w:numId w:val="1"/>
        </w:numPr>
        <w:spacing w:before="120" w:after="120" w:line="288" w:lineRule="auto"/>
        <w:ind w:firstLineChars="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模块二：写好科研论文，强化实操能力（第6-12讲）</w:t>
      </w:r>
      <w:r>
        <w:rPr>
          <w:rFonts w:ascii="Times New Roman" w:hAnsi="Times New Roman" w:eastAsia="宋体" w:cs="Times New Roman"/>
          <w:color w:val="000000" w:themeColor="text1"/>
          <w:sz w:val="28"/>
          <w:szCs w:val="28"/>
          <w14:textFill>
            <w14:solidFill>
              <w14:schemeClr w14:val="tx1"/>
            </w14:solidFill>
          </w14:textFill>
        </w:rPr>
        <w:t>。对标国内外高水平期刊发表标准，覆盖学术论文全流程实操内容，包含论文标题与摘要凝练、引言创新点阐释、研究方法规范表述、实验结果科学呈现、研究结果深度讨论、期刊精准投稿、审稿意见辨析与回复技巧等核心内容，全方位支撑博士生高质量论文撰写与发表。</w:t>
      </w:r>
    </w:p>
    <w:p w14:paraId="350D8CD1">
      <w:pPr>
        <w:pStyle w:val="7"/>
        <w:numPr>
          <w:ilvl w:val="0"/>
          <w:numId w:val="1"/>
        </w:numPr>
        <w:spacing w:before="120" w:after="120" w:line="288" w:lineRule="auto"/>
        <w:ind w:firstLineChars="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模块三：做好学术交流，提升传播素养（第13-15讲）</w:t>
      </w:r>
      <w:r>
        <w:rPr>
          <w:rFonts w:ascii="Times New Roman" w:hAnsi="Times New Roman" w:eastAsia="宋体" w:cs="Times New Roman"/>
          <w:color w:val="000000" w:themeColor="text1"/>
          <w:sz w:val="28"/>
          <w:szCs w:val="28"/>
          <w14:textFill>
            <w14:solidFill>
              <w14:schemeClr w14:val="tx1"/>
            </w14:solidFill>
          </w14:textFill>
        </w:rPr>
        <w:t>。立足国际化多元学术场景，聚焦科研成果传播能力培育，涵盖学术海报规范设计、国际会议口头报告、线上学术直播与成果分享等内容，全面提升博士生跨语境、国际化的学术沟通与成果展示能力。</w:t>
      </w:r>
    </w:p>
    <w:p w14:paraId="680B198B">
      <w:pPr>
        <w:pStyle w:val="7"/>
        <w:numPr>
          <w:ilvl w:val="0"/>
          <w:numId w:val="1"/>
        </w:numPr>
        <w:spacing w:before="120" w:after="120" w:line="288" w:lineRule="auto"/>
        <w:ind w:firstLineChars="0"/>
        <w:rPr>
          <w:rFonts w:ascii="Times New Roman" w:hAnsi="Times New Roman" w:eastAsia="宋体" w:cs="Times New Roman"/>
          <w:bCs/>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模块四：综合测试。</w:t>
      </w:r>
      <w:r>
        <w:rPr>
          <w:rFonts w:ascii="Times New Roman" w:hAnsi="Times New Roman" w:eastAsia="宋体" w:cs="Times New Roman"/>
          <w:bCs/>
          <w:color w:val="000000" w:themeColor="text1"/>
          <w:sz w:val="28"/>
          <w:szCs w:val="28"/>
          <w14:textFill>
            <w14:solidFill>
              <w14:schemeClr w14:val="tx1"/>
            </w14:solidFill>
          </w14:textFill>
        </w:rPr>
        <w:t>学生完成线上课程学习和各讲单元测试后参加。主要考查学生对课程核心内容的整体掌握情况，包括科研写作基本规范、论文结构与语篇逻辑、学术表达、引用规范、投稿交流以及AI写作伦理等。测试题型均为选择题。</w:t>
      </w:r>
    </w:p>
    <w:p w14:paraId="15993765">
      <w:pPr>
        <w:spacing w:before="120" w:after="120" w:line="288" w:lineRule="auto"/>
        <w:ind w:firstLine="562" w:firstLineChars="200"/>
        <w:rPr>
          <w:rFonts w:ascii="Times New Roman" w:hAnsi="Times New Roman" w:eastAsia="宋体" w:cs="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（三）课程教学模式</w:t>
      </w:r>
    </w:p>
    <w:p w14:paraId="3789CCA3">
      <w:pPr>
        <w:spacing w:before="120" w:after="120" w:line="288" w:lineRule="auto"/>
        <w:ind w:firstLine="42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 xml:space="preserve">  </w:t>
      </w:r>
      <w:r>
        <w:rPr>
          <w:rFonts w:ascii="Times New Roman" w:hAnsi="Times New Roman" w:eastAsia="宋体" w:cs="Times New Roman"/>
          <w:color w:val="000000" w:themeColor="text1"/>
          <w:sz w:val="28"/>
          <w:szCs w:val="28"/>
          <w14:textFill>
            <w14:solidFill>
              <w14:schemeClr w14:val="tx1"/>
            </w14:solidFill>
          </w14:textFill>
        </w:rPr>
        <w:t>本课程实行</w:t>
      </w:r>
      <w:r>
        <w:rPr>
          <w:rFonts w:ascii="Times New Roman" w:hAnsi="Times New Roman" w:eastAsia="宋体" w:cs="Times New Roman"/>
          <w:b/>
          <w:color w:val="000000" w:themeColor="text1"/>
          <w:sz w:val="28"/>
          <w:szCs w:val="28"/>
          <w14:textFill>
            <w14:solidFill>
              <w14:schemeClr w14:val="tx1"/>
            </w14:solidFill>
          </w14:textFill>
        </w:rPr>
        <w:t>16学时AI智能化线上课程+16学时学科专业化线下授课</w:t>
      </w:r>
      <w:r>
        <w:rPr>
          <w:rFonts w:ascii="Times New Roman" w:hAnsi="Times New Roman" w:eastAsia="宋体" w:cs="Times New Roman"/>
          <w:color w:val="000000" w:themeColor="text1"/>
          <w:sz w:val="28"/>
          <w:szCs w:val="28"/>
          <w14:textFill>
            <w14:solidFill>
              <w14:schemeClr w14:val="tx1"/>
            </w14:solidFill>
          </w14:textFill>
        </w:rPr>
        <w:t>的双线融合实施模式，线上统一标准、夯实基础，线下贴合学科、精准赋能，双向互补、同质等效，兼顾培养规范性与学科差异性。第1—8周完成AI智能化线上课程学习与综合测试，第9—16周由各培养学院结合学科特点自主组织专业化线下教学。</w:t>
      </w:r>
    </w:p>
    <w:tbl>
      <w:tblPr>
        <w:tblStyle w:val="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2268"/>
        <w:gridCol w:w="1985"/>
      </w:tblGrid>
      <w:tr w14:paraId="7630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1A1D333">
            <w:pPr>
              <w:spacing w:before="120" w:after="120" w:line="288" w:lineRule="auto"/>
              <w:jc w:val="cente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周次</w:t>
            </w:r>
          </w:p>
        </w:tc>
        <w:tc>
          <w:tcPr>
            <w:tcW w:w="2268" w:type="dxa"/>
          </w:tcPr>
          <w:p w14:paraId="2DE87D39">
            <w:pPr>
              <w:spacing w:before="120" w:after="120" w:line="288" w:lineRule="auto"/>
              <w:jc w:val="cente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教学安排</w:t>
            </w:r>
          </w:p>
        </w:tc>
        <w:tc>
          <w:tcPr>
            <w:tcW w:w="2268" w:type="dxa"/>
          </w:tcPr>
          <w:p w14:paraId="28B56B81">
            <w:pPr>
              <w:spacing w:before="120" w:after="120" w:line="288" w:lineRule="auto"/>
              <w:jc w:val="cente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主要任务</w:t>
            </w:r>
          </w:p>
        </w:tc>
        <w:tc>
          <w:tcPr>
            <w:tcW w:w="1985" w:type="dxa"/>
          </w:tcPr>
          <w:p w14:paraId="2B50BD85">
            <w:pPr>
              <w:spacing w:before="120" w:after="120" w:line="288" w:lineRule="auto"/>
              <w:jc w:val="cente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组织主体</w:t>
            </w:r>
          </w:p>
        </w:tc>
      </w:tr>
      <w:tr w14:paraId="4B6C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C87497A">
            <w:pPr>
              <w:spacing w:before="120" w:after="120" w:line="288" w:lineRule="auto"/>
              <w:jc w:val="cente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第1—8周</w:t>
            </w:r>
          </w:p>
          <w:p w14:paraId="2A3DD627">
            <w:pPr>
              <w:spacing w:before="120" w:after="120" w:line="288" w:lineRule="auto"/>
              <w:jc w:val="cente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（16学时）</w:t>
            </w:r>
          </w:p>
        </w:tc>
        <w:tc>
          <w:tcPr>
            <w:tcW w:w="2268" w:type="dxa"/>
          </w:tcPr>
          <w:p w14:paraId="078FF59F">
            <w:pPr>
              <w:spacing w:before="120" w:after="120" w:line="288" w:lineRule="auto"/>
              <w:jc w:val="cente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AI智能化线上</w:t>
            </w:r>
          </w:p>
          <w:p w14:paraId="5963AF0F">
            <w:pPr>
              <w:spacing w:before="120" w:after="120" w:line="288" w:lineRule="auto"/>
              <w:jc w:val="cente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课程</w:t>
            </w:r>
          </w:p>
        </w:tc>
        <w:tc>
          <w:tcPr>
            <w:tcW w:w="2268" w:type="dxa"/>
          </w:tcPr>
          <w:p w14:paraId="4553D63F">
            <w:pPr>
              <w:spacing w:before="120" w:after="120" w:line="288" w:lineRule="auto"/>
              <w:jc w:val="cente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完成视频、单元小测与综合测试</w:t>
            </w:r>
          </w:p>
        </w:tc>
        <w:tc>
          <w:tcPr>
            <w:tcW w:w="1985" w:type="dxa"/>
          </w:tcPr>
          <w:p w14:paraId="2B2FBD31">
            <w:pPr>
              <w:spacing w:before="120" w:after="120" w:line="288" w:lineRule="auto"/>
              <w:jc w:val="cente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研究生院</w:t>
            </w:r>
          </w:p>
        </w:tc>
      </w:tr>
      <w:tr w14:paraId="4CAB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FB3A42B">
            <w:pPr>
              <w:spacing w:before="120" w:after="120" w:line="288" w:lineRule="auto"/>
              <w:jc w:val="cente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第9—16周</w:t>
            </w:r>
          </w:p>
          <w:p w14:paraId="6FFCE2D1">
            <w:pPr>
              <w:spacing w:before="120" w:after="120" w:line="288" w:lineRule="auto"/>
              <w:jc w:val="cente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（16学时）</w:t>
            </w:r>
          </w:p>
        </w:tc>
        <w:tc>
          <w:tcPr>
            <w:tcW w:w="2268" w:type="dxa"/>
          </w:tcPr>
          <w:p w14:paraId="5707E757">
            <w:pPr>
              <w:spacing w:before="120" w:after="120" w:line="288" w:lineRule="auto"/>
              <w:jc w:val="cente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学科专业化线下授课</w:t>
            </w:r>
          </w:p>
        </w:tc>
        <w:tc>
          <w:tcPr>
            <w:tcW w:w="2268" w:type="dxa"/>
          </w:tcPr>
          <w:p w14:paraId="6AAB0A23">
            <w:pPr>
              <w:spacing w:before="120" w:after="120" w:line="288" w:lineRule="auto"/>
              <w:jc w:val="cente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结合学科特点</w:t>
            </w:r>
          </w:p>
          <w:p w14:paraId="20E5CC49">
            <w:pPr>
              <w:spacing w:before="120" w:after="120" w:line="288" w:lineRule="auto"/>
              <w:jc w:val="cente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开展课程教学</w:t>
            </w:r>
          </w:p>
        </w:tc>
        <w:tc>
          <w:tcPr>
            <w:tcW w:w="1985" w:type="dxa"/>
          </w:tcPr>
          <w:p w14:paraId="5781FF5B">
            <w:pPr>
              <w:spacing w:before="120" w:after="120" w:line="288" w:lineRule="auto"/>
              <w:jc w:val="cente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各培养学院</w:t>
            </w:r>
          </w:p>
        </w:tc>
      </w:tr>
    </w:tbl>
    <w:p w14:paraId="71EF762D">
      <w:pPr>
        <w:spacing w:before="120" w:after="120" w:line="288" w:lineRule="auto"/>
        <w:ind w:firstLine="560" w:firstLineChars="200"/>
        <w:rPr>
          <w:rFonts w:ascii="Times New Roman" w:hAnsi="Times New Roman" w:eastAsia="宋体" w:cs="Times New Roman"/>
          <w:bCs/>
          <w:color w:val="000000" w:themeColor="text1"/>
          <w:sz w:val="28"/>
          <w:szCs w:val="28"/>
          <w14:textFill>
            <w14:solidFill>
              <w14:schemeClr w14:val="tx1"/>
            </w14:solidFill>
          </w14:textFill>
        </w:rPr>
      </w:pPr>
      <w:r>
        <w:rPr>
          <w:rFonts w:hint="eastAsia" w:ascii="Times New Roman" w:hAnsi="Times New Roman" w:eastAsia="宋体" w:cs="Times New Roman"/>
          <w:bCs/>
          <w:color w:val="000000" w:themeColor="text1"/>
          <w:sz w:val="28"/>
          <w:szCs w:val="28"/>
          <w14:textFill>
            <w14:solidFill>
              <w14:schemeClr w14:val="tx1"/>
            </w14:solidFill>
          </w14:textFill>
        </w:rPr>
        <w:t xml:space="preserve"> AI智能化线上课程</w:t>
      </w:r>
      <w:r>
        <w:rPr>
          <w:rFonts w:ascii="Times New Roman" w:hAnsi="Times New Roman" w:eastAsia="宋体" w:cs="Times New Roman"/>
          <w:bCs/>
          <w:color w:val="000000" w:themeColor="text1"/>
          <w:sz w:val="28"/>
          <w:szCs w:val="28"/>
          <w14:textFill>
            <w14:solidFill>
              <w14:schemeClr w14:val="tx1"/>
            </w14:solidFill>
          </w14:textFill>
        </w:rPr>
        <w:t>将依托人工智能与大数据技术，构建知识图谱导学、AI学伴赋能、全过程动态测评三位一体的智能化学习机制。知识图谱系统拆解课程核心知识点，为学生提供体系化学习路径；定制化AI学伴依托专属知识库，实现24小时答疑指导，相较通用大模型更贴合课程学术规范与学科要求；大数据系统实时追踪学习进度与测评成绩，动态生成学术能力画像，为线下精准教学提供数据支撑，全面适配博士生差异化学习需求。</w:t>
      </w:r>
    </w:p>
    <w:p w14:paraId="069AB283">
      <w:pPr>
        <w:spacing w:before="320" w:after="120" w:line="288" w:lineRule="auto"/>
        <w:ind w:left="140" w:firstLine="420"/>
        <w:outlineLvl w:val="1"/>
        <w:rPr>
          <w:rFonts w:ascii="Times New Roman" w:hAnsi="Times New Roman" w:eastAsia="宋体" w:cs="Times New Roman"/>
          <w:color w:val="000000" w:themeColor="text1"/>
          <w:sz w:val="28"/>
          <w:szCs w:val="28"/>
          <w14:textFill>
            <w14:solidFill>
              <w14:schemeClr w14:val="tx1"/>
            </w14:solidFill>
          </w14:textFill>
        </w:rPr>
      </w:pPr>
      <w:bookmarkStart w:id="1" w:name="heading_2"/>
      <w:r>
        <w:rPr>
          <w:rFonts w:hint="eastAsia" w:ascii="Times New Roman" w:hAnsi="Times New Roman" w:eastAsia="宋体" w:cs="Times New Roman"/>
          <w:b/>
          <w:color w:val="000000" w:themeColor="text1"/>
          <w:sz w:val="32"/>
          <w:szCs w:val="28"/>
          <w14:textFill>
            <w14:solidFill>
              <w14:schemeClr w14:val="tx1"/>
            </w14:solidFill>
          </w14:textFill>
        </w:rPr>
        <w:t>二</w:t>
      </w:r>
      <w:r>
        <w:rPr>
          <w:rFonts w:ascii="Times New Roman" w:hAnsi="Times New Roman" w:eastAsia="宋体" w:cs="Times New Roman"/>
          <w:b/>
          <w:color w:val="000000" w:themeColor="text1"/>
          <w:sz w:val="32"/>
          <w:szCs w:val="28"/>
          <w14:textFill>
            <w14:solidFill>
              <w14:schemeClr w14:val="tx1"/>
            </w14:solidFill>
          </w14:textFill>
        </w:rPr>
        <w:t>、</w:t>
      </w:r>
      <w:bookmarkEnd w:id="1"/>
      <w:r>
        <w:rPr>
          <w:rFonts w:ascii="Times New Roman" w:hAnsi="Times New Roman" w:eastAsia="宋体" w:cs="Times New Roman"/>
          <w:b/>
          <w:color w:val="000000" w:themeColor="text1"/>
          <w:sz w:val="32"/>
          <w:szCs w:val="28"/>
          <w14:textFill>
            <w14:solidFill>
              <w14:schemeClr w14:val="tx1"/>
            </w14:solidFill>
          </w14:textFill>
        </w:rPr>
        <w:t>课程实施</w:t>
      </w:r>
    </w:p>
    <w:p w14:paraId="6CDF9A34">
      <w:pPr>
        <w:spacing w:before="120" w:after="120" w:line="288" w:lineRule="auto"/>
        <w:ind w:firstLine="420"/>
        <w:rPr>
          <w:rFonts w:ascii="Times New Roman" w:hAnsi="Times New Roman" w:eastAsia="宋体" w:cs="Times New Roman"/>
          <w:color w:val="000000" w:themeColor="text1"/>
          <w:sz w:val="28"/>
          <w:szCs w:val="28"/>
          <w14:textFill>
            <w14:solidFill>
              <w14:schemeClr w14:val="tx1"/>
            </w14:solidFill>
          </w14:textFill>
        </w:rPr>
      </w:pPr>
      <w:bookmarkStart w:id="2" w:name="OLE_LINK1"/>
      <w:r>
        <w:rPr>
          <w:rFonts w:ascii="Times New Roman" w:hAnsi="Times New Roman" w:eastAsia="宋体" w:cs="Times New Roman"/>
          <w:b/>
          <w:color w:val="000000" w:themeColor="text1"/>
          <w:sz w:val="28"/>
          <w:szCs w:val="28"/>
          <w14:textFill>
            <w14:solidFill>
              <w14:schemeClr w14:val="tx1"/>
            </w14:solidFill>
          </w14:textFill>
        </w:rPr>
        <w:t>（一）AI线上智能化课程实施：</w:t>
      </w:r>
      <w:r>
        <w:rPr>
          <w:rFonts w:ascii="Times New Roman" w:hAnsi="Times New Roman" w:eastAsia="宋体" w:cs="Times New Roman"/>
          <w:color w:val="000000" w:themeColor="text1"/>
          <w:sz w:val="28"/>
          <w:szCs w:val="28"/>
          <w14:textFill>
            <w14:solidFill>
              <w14:schemeClr w14:val="tx1"/>
            </w14:solidFill>
          </w14:textFill>
        </w:rPr>
        <w:t>由研究生院统一统筹、标准化建设与规范化管理，在第1—8周集中完成。涵盖1</w:t>
      </w:r>
      <w:r>
        <w:rPr>
          <w:rFonts w:hint="eastAsia" w:ascii="Times New Roman" w:hAnsi="Times New Roman" w:eastAsia="宋体" w:cs="Times New Roman"/>
          <w:color w:val="000000" w:themeColor="text1"/>
          <w:sz w:val="28"/>
          <w:szCs w:val="28"/>
          <w14:textFill>
            <w14:solidFill>
              <w14:schemeClr w14:val="tx1"/>
            </w14:solidFill>
          </w14:textFill>
        </w:rPr>
        <w:t>5</w:t>
      </w:r>
      <w:r>
        <w:rPr>
          <w:rFonts w:ascii="Times New Roman" w:hAnsi="Times New Roman" w:eastAsia="宋体" w:cs="Times New Roman"/>
          <w:color w:val="000000" w:themeColor="text1"/>
          <w:sz w:val="28"/>
          <w:szCs w:val="28"/>
          <w14:textFill>
            <w14:solidFill>
              <w14:schemeClr w14:val="tx1"/>
            </w14:solidFill>
          </w14:textFill>
        </w:rPr>
        <w:t>讲专题学习、单元知识点测评、AI学伴互动、学习反思、终结性测试等完整教学环节，重点解决博士生学术基础不均、写作知识体系零散、规范训练不足等共性问题。学生可结合自身科研节奏弹性自主学习，依托平台智能功能查漏补缺，实现通用学术能力标准化提升。</w:t>
      </w:r>
    </w:p>
    <w:p w14:paraId="6C7A1C67">
      <w:pPr>
        <w:spacing w:before="120" w:after="120" w:line="288" w:lineRule="auto"/>
        <w:ind w:firstLine="42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（二）学科线下专业化授课实施</w:t>
      </w:r>
      <w:r>
        <w:rPr>
          <w:rFonts w:ascii="Times New Roman" w:hAnsi="Times New Roman" w:eastAsia="宋体" w:cs="Times New Roman"/>
          <w:color w:val="000000" w:themeColor="text1"/>
          <w:sz w:val="28"/>
          <w:szCs w:val="28"/>
          <w14:textFill>
            <w14:solidFill>
              <w14:schemeClr w14:val="tx1"/>
            </w14:solidFill>
          </w14:textFill>
        </w:rPr>
        <w:t>：由各培养学院在第9—16周自主组织开展，结合学科培养目标、科研范式、期刊发表要求，坚持真实科研任务驱动的教学导向。任课教师以本学科顶级期刊范文、学生在研论文、真实投稿返修案例为载体，针对性指导学生掌握学科专属的研究问题凝练、论文架构搭建、方法表述、数据呈现、创新点凸显等核心能力，实现通用写作规范与学科科研实践深度融合。</w:t>
      </w:r>
    </w:p>
    <w:bookmarkEnd w:id="2"/>
    <w:p w14:paraId="3D68AAAB">
      <w:pPr>
        <w:spacing w:before="120" w:after="120" w:line="288" w:lineRule="auto"/>
        <w:ind w:firstLine="42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（三）课程综合考核与成绩评定：</w:t>
      </w:r>
      <w:r>
        <w:rPr>
          <w:rFonts w:ascii="Times New Roman" w:hAnsi="Times New Roman" w:eastAsia="宋体" w:cs="Times New Roman"/>
          <w:color w:val="000000" w:themeColor="text1"/>
          <w:sz w:val="28"/>
          <w:szCs w:val="28"/>
          <w14:textFill>
            <w14:solidFill>
              <w14:schemeClr w14:val="tx1"/>
            </w14:solidFill>
          </w14:textFill>
        </w:rPr>
        <w:t>课程总成绩实行百分制，由线上成绩占30%、线下成绩占70%综合评定。线上30%成绩由平台根据学习进度、单元测评、终结性测试自动加权核算，统一标准、保障基础培养质量；线</w:t>
      </w:r>
      <w:r>
        <w:rPr>
          <w:rFonts w:hint="eastAsia" w:ascii="Times New Roman" w:hAnsi="Times New Roman" w:eastAsia="宋体" w:cs="Times New Roman"/>
          <w:color w:val="000000" w:themeColor="text1"/>
          <w:sz w:val="28"/>
          <w:szCs w:val="28"/>
          <w14:textFill>
            <w14:solidFill>
              <w14:schemeClr w14:val="tx1"/>
            </w14:solidFill>
          </w14:textFill>
        </w:rPr>
        <w:t>下</w:t>
      </w:r>
      <w:r>
        <w:rPr>
          <w:rFonts w:ascii="Times New Roman" w:hAnsi="Times New Roman" w:eastAsia="宋体" w:cs="Times New Roman"/>
          <w:color w:val="000000" w:themeColor="text1"/>
          <w:sz w:val="28"/>
          <w:szCs w:val="28"/>
          <w14:textFill>
            <w14:solidFill>
              <w14:schemeClr w14:val="tx1"/>
            </w14:solidFill>
          </w14:textFill>
        </w:rPr>
        <w:t>70%成绩由各学院任课教师结合学科培养要求，围绕课堂参与、科研实操、论文打磨、阶段性成果等维度制定细化评价标准，突出学科科研实践育人核心导向。</w:t>
      </w:r>
    </w:p>
    <w:p w14:paraId="450C0182">
      <w:pPr>
        <w:spacing w:before="120" w:after="120" w:line="288" w:lineRule="auto"/>
        <w:ind w:firstLine="42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b/>
          <w:bCs/>
          <w:color w:val="000000" w:themeColor="text1"/>
          <w:sz w:val="28"/>
          <w:szCs w:val="28"/>
          <w14:textFill>
            <w14:solidFill>
              <w14:schemeClr w14:val="tx1"/>
            </w14:solidFill>
          </w14:textFill>
        </w:rPr>
        <w:t xml:space="preserve"> </w:t>
      </w:r>
      <w:r>
        <w:rPr>
          <w:rFonts w:ascii="Times New Roman" w:hAnsi="Times New Roman" w:eastAsia="宋体" w:cs="Times New Roman"/>
          <w:b/>
          <w:bCs/>
          <w:color w:val="000000" w:themeColor="text1"/>
          <w:sz w:val="28"/>
          <w:szCs w:val="28"/>
          <w14:textFill>
            <w14:solidFill>
              <w14:schemeClr w14:val="tx1"/>
            </w14:solidFill>
          </w14:textFill>
        </w:rPr>
        <w:t>线上AI课程成绩满分为30分</w:t>
      </w:r>
      <w:r>
        <w:rPr>
          <w:rFonts w:ascii="Times New Roman" w:hAnsi="Times New Roman" w:eastAsia="宋体" w:cs="Times New Roman"/>
          <w:color w:val="000000" w:themeColor="text1"/>
          <w:sz w:val="28"/>
          <w:szCs w:val="28"/>
          <w14:textFill>
            <w14:solidFill>
              <w14:schemeClr w14:val="tx1"/>
            </w14:solidFill>
          </w14:textFill>
        </w:rPr>
        <w:t>，平台按照</w:t>
      </w:r>
      <w:r>
        <w:rPr>
          <w:rFonts w:hint="eastAsia" w:ascii="Times New Roman" w:hAnsi="Times New Roman" w:eastAsia="宋体" w:cs="Times New Roman"/>
          <w:color w:val="000000" w:themeColor="text1"/>
          <w:sz w:val="28"/>
          <w:szCs w:val="28"/>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按周开放、顺序学习、限时完成</w:t>
      </w:r>
      <w:r>
        <w:rPr>
          <w:rFonts w:hint="eastAsia" w:ascii="Times New Roman" w:hAnsi="Times New Roman" w:eastAsia="宋体" w:cs="Times New Roman"/>
          <w:color w:val="000000" w:themeColor="text1"/>
          <w:sz w:val="28"/>
          <w:szCs w:val="28"/>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的原则组织学习。课程内容按周依次开放，学生须在对应周次内完成当周的视频学习与单元测试；完成视频学习后方可解锁该单元测试，完成前序讲次的学习与测试后方可继续学习后续内容；完成全部15讲的视频学习与单元测试后，方可解锁综合测试。逾期未完成者，该单元学习与测试成绩不予计入。具体计分方式如下表所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118"/>
        <w:gridCol w:w="3622"/>
      </w:tblGrid>
      <w:tr w14:paraId="3FC4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108B084">
            <w:pPr>
              <w:spacing w:before="120" w:after="120"/>
              <w:jc w:val="center"/>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周次</w:t>
            </w:r>
          </w:p>
        </w:tc>
        <w:tc>
          <w:tcPr>
            <w:tcW w:w="3118" w:type="dxa"/>
            <w:vAlign w:val="center"/>
          </w:tcPr>
          <w:p w14:paraId="22EAF33C">
            <w:pPr>
              <w:spacing w:before="120" w:after="120"/>
              <w:jc w:val="center"/>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学习安排</w:t>
            </w:r>
          </w:p>
        </w:tc>
        <w:tc>
          <w:tcPr>
            <w:tcW w:w="3622" w:type="dxa"/>
            <w:vAlign w:val="center"/>
          </w:tcPr>
          <w:p w14:paraId="70308067">
            <w:pPr>
              <w:spacing w:before="120" w:after="120"/>
              <w:jc w:val="center"/>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单元成绩</w:t>
            </w:r>
          </w:p>
        </w:tc>
      </w:tr>
      <w:tr w14:paraId="0DB8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2C8DAEF3">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第1周</w:t>
            </w:r>
          </w:p>
        </w:tc>
        <w:tc>
          <w:tcPr>
            <w:tcW w:w="3118" w:type="dxa"/>
            <w:vAlign w:val="center"/>
          </w:tcPr>
          <w:p w14:paraId="56804291">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第1—2讲</w:t>
            </w:r>
          </w:p>
        </w:tc>
        <w:tc>
          <w:tcPr>
            <w:tcW w:w="3622" w:type="dxa"/>
            <w:vAlign w:val="center"/>
          </w:tcPr>
          <w:p w14:paraId="7FEC5344">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2分</w:t>
            </w:r>
          </w:p>
        </w:tc>
      </w:tr>
      <w:tr w14:paraId="6875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0411326F">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第2周</w:t>
            </w:r>
          </w:p>
        </w:tc>
        <w:tc>
          <w:tcPr>
            <w:tcW w:w="3118" w:type="dxa"/>
            <w:vAlign w:val="center"/>
          </w:tcPr>
          <w:p w14:paraId="339637AD">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第3—4讲</w:t>
            </w:r>
          </w:p>
        </w:tc>
        <w:tc>
          <w:tcPr>
            <w:tcW w:w="3622" w:type="dxa"/>
            <w:vAlign w:val="center"/>
          </w:tcPr>
          <w:p w14:paraId="00471F41">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2分</w:t>
            </w:r>
          </w:p>
        </w:tc>
      </w:tr>
      <w:tr w14:paraId="75DB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189A39D8">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第3周</w:t>
            </w:r>
          </w:p>
        </w:tc>
        <w:tc>
          <w:tcPr>
            <w:tcW w:w="3118" w:type="dxa"/>
            <w:vAlign w:val="center"/>
          </w:tcPr>
          <w:p w14:paraId="5AEEAC79">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第5—6讲</w:t>
            </w:r>
          </w:p>
        </w:tc>
        <w:tc>
          <w:tcPr>
            <w:tcW w:w="3622" w:type="dxa"/>
            <w:vAlign w:val="center"/>
          </w:tcPr>
          <w:p w14:paraId="294C8964">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2分</w:t>
            </w:r>
          </w:p>
        </w:tc>
      </w:tr>
      <w:tr w14:paraId="477E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A30E6F5">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第4周</w:t>
            </w:r>
          </w:p>
        </w:tc>
        <w:tc>
          <w:tcPr>
            <w:tcW w:w="3118" w:type="dxa"/>
            <w:vAlign w:val="center"/>
          </w:tcPr>
          <w:p w14:paraId="4369A07D">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第7—8讲</w:t>
            </w:r>
          </w:p>
        </w:tc>
        <w:tc>
          <w:tcPr>
            <w:tcW w:w="3622" w:type="dxa"/>
            <w:vAlign w:val="center"/>
          </w:tcPr>
          <w:p w14:paraId="55A2C551">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2分</w:t>
            </w:r>
          </w:p>
        </w:tc>
      </w:tr>
      <w:tr w14:paraId="3F51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33E6521E">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第5周</w:t>
            </w:r>
          </w:p>
        </w:tc>
        <w:tc>
          <w:tcPr>
            <w:tcW w:w="3118" w:type="dxa"/>
            <w:vAlign w:val="center"/>
          </w:tcPr>
          <w:p w14:paraId="4BAFE9CB">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第9—10讲</w:t>
            </w:r>
          </w:p>
        </w:tc>
        <w:tc>
          <w:tcPr>
            <w:tcW w:w="3622" w:type="dxa"/>
            <w:vAlign w:val="center"/>
          </w:tcPr>
          <w:p w14:paraId="21FECA38">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2分</w:t>
            </w:r>
          </w:p>
        </w:tc>
      </w:tr>
      <w:tr w14:paraId="6951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1C01FBD7">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第6周</w:t>
            </w:r>
          </w:p>
        </w:tc>
        <w:tc>
          <w:tcPr>
            <w:tcW w:w="3118" w:type="dxa"/>
            <w:vAlign w:val="center"/>
          </w:tcPr>
          <w:p w14:paraId="4464E41A">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第11—12讲</w:t>
            </w:r>
          </w:p>
        </w:tc>
        <w:tc>
          <w:tcPr>
            <w:tcW w:w="3622" w:type="dxa"/>
            <w:vAlign w:val="center"/>
          </w:tcPr>
          <w:p w14:paraId="3A7A4061">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2分</w:t>
            </w:r>
          </w:p>
        </w:tc>
      </w:tr>
      <w:tr w14:paraId="0EDB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3250EBAE">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第7周</w:t>
            </w:r>
          </w:p>
        </w:tc>
        <w:tc>
          <w:tcPr>
            <w:tcW w:w="3118" w:type="dxa"/>
            <w:vAlign w:val="center"/>
          </w:tcPr>
          <w:p w14:paraId="25526105">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第13—14讲</w:t>
            </w:r>
          </w:p>
        </w:tc>
        <w:tc>
          <w:tcPr>
            <w:tcW w:w="3622" w:type="dxa"/>
            <w:vAlign w:val="center"/>
          </w:tcPr>
          <w:p w14:paraId="532823D2">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2分</w:t>
            </w:r>
          </w:p>
        </w:tc>
      </w:tr>
      <w:tr w14:paraId="1E19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578A45F5">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第8周</w:t>
            </w:r>
          </w:p>
        </w:tc>
        <w:tc>
          <w:tcPr>
            <w:tcW w:w="3118" w:type="dxa"/>
            <w:vAlign w:val="center"/>
          </w:tcPr>
          <w:p w14:paraId="6C43C57E">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第15讲+综合测试</w:t>
            </w:r>
          </w:p>
        </w:tc>
        <w:tc>
          <w:tcPr>
            <w:tcW w:w="3622" w:type="dxa"/>
            <w:vAlign w:val="center"/>
          </w:tcPr>
          <w:p w14:paraId="2B37C280">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单元学习1分+综合测试15分</w:t>
            </w:r>
          </w:p>
        </w:tc>
      </w:tr>
      <w:tr w14:paraId="7745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3" w:type="dxa"/>
            <w:gridSpan w:val="2"/>
            <w:vAlign w:val="center"/>
          </w:tcPr>
          <w:p w14:paraId="7E8AC755">
            <w:pPr>
              <w:spacing w:before="120" w:after="120"/>
              <w:ind w:firstLine="4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合计</w:t>
            </w:r>
          </w:p>
        </w:tc>
        <w:tc>
          <w:tcPr>
            <w:tcW w:w="3622" w:type="dxa"/>
            <w:vAlign w:val="center"/>
          </w:tcPr>
          <w:p w14:paraId="47A3FDDD">
            <w:pPr>
              <w:spacing w:before="120" w:after="12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30分</w:t>
            </w:r>
          </w:p>
        </w:tc>
      </w:tr>
    </w:tbl>
    <w:p w14:paraId="183CA804">
      <w:pPr>
        <w:spacing w:before="320" w:after="120" w:line="288" w:lineRule="auto"/>
        <w:ind w:left="420"/>
        <w:outlineLvl w:val="1"/>
        <w:rPr>
          <w:rFonts w:ascii="Times New Roman" w:hAnsi="Times New Roman" w:eastAsia="宋体" w:cs="Times New Roman"/>
          <w:color w:val="000000" w:themeColor="text1"/>
          <w:sz w:val="32"/>
          <w:szCs w:val="28"/>
          <w14:textFill>
            <w14:solidFill>
              <w14:schemeClr w14:val="tx1"/>
            </w14:solidFill>
          </w14:textFill>
        </w:rPr>
      </w:pPr>
      <w:bookmarkStart w:id="3" w:name="heading_4"/>
      <w:r>
        <w:rPr>
          <w:rFonts w:hint="eastAsia" w:ascii="Times New Roman" w:hAnsi="Times New Roman" w:eastAsia="宋体" w:cs="Times New Roman"/>
          <w:b/>
          <w:color w:val="000000" w:themeColor="text1"/>
          <w:sz w:val="32"/>
          <w:szCs w:val="28"/>
          <w14:textFill>
            <w14:solidFill>
              <w14:schemeClr w14:val="tx1"/>
            </w14:solidFill>
          </w14:textFill>
        </w:rPr>
        <w:t xml:space="preserve">  三</w:t>
      </w:r>
      <w:r>
        <w:rPr>
          <w:rFonts w:ascii="Times New Roman" w:hAnsi="Times New Roman" w:eastAsia="宋体" w:cs="Times New Roman"/>
          <w:b/>
          <w:color w:val="000000" w:themeColor="text1"/>
          <w:sz w:val="32"/>
          <w:szCs w:val="28"/>
          <w14:textFill>
            <w14:solidFill>
              <w14:schemeClr w14:val="tx1"/>
            </w14:solidFill>
          </w14:textFill>
        </w:rPr>
        <w:t>、师资赋能与质量保障及推广</w:t>
      </w:r>
      <w:bookmarkEnd w:id="3"/>
    </w:p>
    <w:p w14:paraId="0B2ED4BB">
      <w:pPr>
        <w:spacing w:before="120" w:after="120" w:line="288" w:lineRule="auto"/>
        <w:ind w:firstLine="42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（一）常态化师资培训体系</w:t>
      </w:r>
      <w:r>
        <w:rPr>
          <w:rFonts w:ascii="Times New Roman" w:hAnsi="Times New Roman" w:eastAsia="宋体" w:cs="Times New Roman"/>
          <w:color w:val="000000" w:themeColor="text1"/>
          <w:sz w:val="28"/>
          <w:szCs w:val="28"/>
          <w14:textFill>
            <w14:solidFill>
              <w14:schemeClr w14:val="tx1"/>
            </w14:solidFill>
          </w14:textFill>
        </w:rPr>
        <w:t>。为保障双线融合教学提质增效，课程面向全校学科授课教师建立系统化、常态化赋能培训机制，依托湾区高校教研优势，搭建跨校、跨学科教研平台。培训包含三大核心内容：一是AI课程教学应用专题工作坊，帮助教师掌握平台功能、学情数据、测评规则，实现线上线下教学高效衔接；二是科研写作教学方法专题研讨，联动湾区语言教师与学科教师共研共讨，提炼可复制的教学范式与实操案例；三是教学资源与评估专项支撑，统一提供案例研读指南、语步分析框架、同伴互评量表等标准化资源包，降低备课成本、规范教学流程。培训坚持“赋能不转型”原则，助力学科教师将科研评审、发表经验转化为适配博士生的课堂教学任务。</w:t>
      </w:r>
    </w:p>
    <w:p w14:paraId="39DF1931">
      <w:pPr>
        <w:spacing w:before="120" w:after="120" w:line="288" w:lineRule="auto"/>
        <w:ind w:firstLine="42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（二）全周期质量迭代机制</w:t>
      </w:r>
      <w:r>
        <w:rPr>
          <w:rFonts w:ascii="Times New Roman" w:hAnsi="Times New Roman" w:eastAsia="宋体" w:cs="Times New Roman"/>
          <w:color w:val="000000" w:themeColor="text1"/>
          <w:sz w:val="28"/>
          <w:szCs w:val="28"/>
          <w14:textFill>
            <w14:solidFill>
              <w14:schemeClr w14:val="tx1"/>
            </w14:solidFill>
          </w14:textFill>
        </w:rPr>
        <w:t>。课程建立多元反馈、动态优化、长效提质的闭环保障体系，每学期通过学生问卷、教师访谈、作业分析、教研研讨等方式，全面收集课程内容、教学平台、课堂任务、考核体系、AI工具的反馈意见。课程团队基于反馈持续迭代AI教学资源、更新湾区学科案例库、完善师资培训体系，逐步形成标准化、可推广的博士生学术写作育人范式。</w:t>
      </w:r>
    </w:p>
    <w:p w14:paraId="6FF61E06">
      <w:pPr>
        <w:spacing w:before="120" w:after="120" w:line="288" w:lineRule="auto"/>
        <w:ind w:firstLine="420"/>
        <w:rPr>
          <w:rFonts w:ascii="Times New Roman" w:hAnsi="Times New Roman" w:eastAsia="宋体" w:cs="Times New Roman"/>
          <w:b/>
          <w:color w:val="000000" w:themeColor="text1"/>
          <w:sz w:val="28"/>
          <w:szCs w:val="28"/>
          <w14:textFill>
            <w14:solidFill>
              <w14:schemeClr w14:val="tx1"/>
            </w14:solidFill>
          </w14:textFill>
        </w:rPr>
        <w:sectPr>
          <w:footerReference r:id="rId3" w:type="default"/>
          <w:pgSz w:w="11905" w:h="16840"/>
          <w:pgMar w:top="1440" w:right="1800" w:bottom="1440" w:left="1800" w:header="720" w:footer="720" w:gutter="0"/>
          <w:cols w:space="720" w:num="1"/>
        </w:sectPr>
      </w:pPr>
      <w:r>
        <w:rPr>
          <w:rFonts w:ascii="Times New Roman" w:hAnsi="Times New Roman" w:eastAsia="宋体" w:cs="Times New Roman"/>
          <w:b/>
          <w:color w:val="000000" w:themeColor="text1"/>
          <w:sz w:val="28"/>
          <w:szCs w:val="28"/>
          <w14:textFill>
            <w14:solidFill>
              <w14:schemeClr w14:val="tx1"/>
            </w14:solidFill>
          </w14:textFill>
        </w:rPr>
        <w:t>（三）湾区联动推广应用价值</w:t>
      </w:r>
      <w:r>
        <w:rPr>
          <w:rFonts w:ascii="Times New Roman" w:hAnsi="Times New Roman" w:eastAsia="宋体" w:cs="Times New Roman"/>
          <w:color w:val="000000" w:themeColor="text1"/>
          <w:sz w:val="28"/>
          <w:szCs w:val="28"/>
          <w14:textFill>
            <w14:solidFill>
              <w14:schemeClr w14:val="tx1"/>
            </w14:solidFill>
          </w14:textFill>
        </w:rPr>
        <w:t>。本课程立足粤港澳大湾区研究生教育协同发展定位，依托多校联合研制优势，构建开放式、可复用、可迭代的区域课程支撑体系。课程成果包含标准化实施指南、湾区学科案例库、常态化培训工作坊、跨校教研合作机制等完整矩阵，可在大湾区高校圈层快速推广复用。各高校可结合自身办学定位与师资条件，灵活选用纯线上自主学习、线上+学科研讨、线上+语言辅导、双语教师协同教学四种实施模式，为大湾区高层次创新人才国际化培养提供可复制、可示范的华师范式。</w:t>
      </w:r>
      <w:bookmarkStart w:id="4" w:name="heading_5"/>
    </w:p>
    <w:p w14:paraId="480BA956">
      <w:pPr>
        <w:spacing w:before="320" w:after="120" w:line="288" w:lineRule="auto"/>
        <w:outlineLvl w:val="1"/>
        <w:rPr>
          <w:rFonts w:ascii="Times New Roman" w:hAnsi="Times New Roman" w:eastAsia="宋体" w:cs="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附：课程实施流程图</w:t>
      </w:r>
      <w:bookmarkEnd w:id="4"/>
    </w:p>
    <w:p w14:paraId="6CAB666F">
      <w:pPr>
        <w:spacing w:before="320" w:after="120" w:line="288" w:lineRule="auto"/>
        <w:jc w:val="center"/>
        <w:outlineLvl w:val="1"/>
      </w:pPr>
      <w:r>
        <w:rPr>
          <w:rFonts w:ascii="Times New Roman" w:hAnsi="Times New Roman" w:eastAsia="宋体" w:cs="Times New Roman"/>
          <w:color w:val="000000" w:themeColor="text1"/>
          <w:sz w:val="28"/>
          <w:szCs w:val="28"/>
          <w14:textFill>
            <w14:solidFill>
              <w14:schemeClr w14:val="tx1"/>
            </w14:solidFill>
          </w14:textFill>
        </w:rPr>
        <w:drawing>
          <wp:inline distT="0" distB="0" distL="0" distR="0">
            <wp:extent cx="5290185" cy="2974340"/>
            <wp:effectExtent l="0" t="0" r="5715" b="16510"/>
            <wp:docPr id="548516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516238"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90185" cy="2974340"/>
                    </a:xfrm>
                    <a:prstGeom prst="rect">
                      <a:avLst/>
                    </a:prstGeom>
                  </pic:spPr>
                </pic:pic>
              </a:graphicData>
            </a:graphic>
          </wp:inline>
        </w:drawing>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396017898"/>
      <w:docPartObj>
        <w:docPartGallery w:val="autotext"/>
      </w:docPartObj>
    </w:sdtPr>
    <w:sdtEndPr>
      <w:rPr>
        <w:rFonts w:ascii="Times New Roman" w:hAnsi="Times New Roman" w:cs="Times New Roman"/>
      </w:rPr>
    </w:sdtEndPr>
    <w:sdtContent>
      <w:sdt>
        <w:sdtPr>
          <w:rPr>
            <w:rFonts w:ascii="Times New Roman" w:hAnsi="Times New Roman" w:cs="Times New Roman"/>
          </w:rPr>
          <w:id w:val="1728636285"/>
          <w:docPartObj>
            <w:docPartGallery w:val="autotext"/>
          </w:docPartObj>
        </w:sdtPr>
        <w:sdtEndPr>
          <w:rPr>
            <w:rFonts w:ascii="Times New Roman" w:hAnsi="Times New Roman" w:cs="Times New Roman"/>
          </w:rPr>
        </w:sdtEndPr>
        <w:sdtContent>
          <w:p w14:paraId="44A11CFB">
            <w:pPr>
              <w:pStyle w:val="2"/>
              <w:jc w:val="center"/>
              <w:rPr>
                <w:rFonts w:ascii="Times New Roman" w:hAnsi="Times New Roman" w:cs="Times New Roman"/>
              </w:rPr>
            </w:pPr>
            <w:r>
              <w:rPr>
                <w:rFonts w:ascii="Times New Roman" w:hAnsi="Times New Roman" w:cs="Times New Roman"/>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lang w:val="zh-CN"/>
              </w:rPr>
              <w:t>2</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lang w:val="zh-CN"/>
              </w:rPr>
              <w:t>2</w:t>
            </w:r>
            <w:r>
              <w:rPr>
                <w:rFonts w:ascii="Times New Roman" w:hAnsi="Times New Roman" w:cs="Times New Roman"/>
                <w:b/>
                <w:bCs/>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C49EB"/>
    <w:multiLevelType w:val="multilevel"/>
    <w:tmpl w:val="28CC49EB"/>
    <w:lvl w:ilvl="0" w:tentative="0">
      <w:start w:val="1"/>
      <w:numFmt w:val="bullet"/>
      <w:lvlText w:val=""/>
      <w:lvlJc w:val="left"/>
      <w:pPr>
        <w:ind w:left="862" w:hanging="420"/>
      </w:pPr>
      <w:rPr>
        <w:rFonts w:hint="default" w:ascii="Wingdings" w:hAnsi="Wingdings"/>
      </w:rPr>
    </w:lvl>
    <w:lvl w:ilvl="1" w:tentative="0">
      <w:start w:val="1"/>
      <w:numFmt w:val="bullet"/>
      <w:lvlText w:val=""/>
      <w:lvlJc w:val="left"/>
      <w:pPr>
        <w:ind w:left="1282" w:hanging="420"/>
      </w:pPr>
      <w:rPr>
        <w:rFonts w:hint="default" w:ascii="Wingdings" w:hAnsi="Wingdings"/>
      </w:rPr>
    </w:lvl>
    <w:lvl w:ilvl="2" w:tentative="0">
      <w:start w:val="1"/>
      <w:numFmt w:val="bullet"/>
      <w:lvlText w:val=""/>
      <w:lvlJc w:val="left"/>
      <w:pPr>
        <w:ind w:left="1702" w:hanging="420"/>
      </w:pPr>
      <w:rPr>
        <w:rFonts w:hint="default" w:ascii="Wingdings" w:hAnsi="Wingdings"/>
      </w:rPr>
    </w:lvl>
    <w:lvl w:ilvl="3" w:tentative="0">
      <w:start w:val="1"/>
      <w:numFmt w:val="bullet"/>
      <w:lvlText w:val=""/>
      <w:lvlJc w:val="left"/>
      <w:pPr>
        <w:ind w:left="2122" w:hanging="420"/>
      </w:pPr>
      <w:rPr>
        <w:rFonts w:hint="default" w:ascii="Wingdings" w:hAnsi="Wingdings"/>
      </w:rPr>
    </w:lvl>
    <w:lvl w:ilvl="4" w:tentative="0">
      <w:start w:val="1"/>
      <w:numFmt w:val="bullet"/>
      <w:lvlText w:val=""/>
      <w:lvlJc w:val="left"/>
      <w:pPr>
        <w:ind w:left="2542" w:hanging="420"/>
      </w:pPr>
      <w:rPr>
        <w:rFonts w:hint="default" w:ascii="Wingdings" w:hAnsi="Wingdings"/>
      </w:rPr>
    </w:lvl>
    <w:lvl w:ilvl="5" w:tentative="0">
      <w:start w:val="1"/>
      <w:numFmt w:val="bullet"/>
      <w:lvlText w:val=""/>
      <w:lvlJc w:val="left"/>
      <w:pPr>
        <w:ind w:left="2962" w:hanging="420"/>
      </w:pPr>
      <w:rPr>
        <w:rFonts w:hint="default" w:ascii="Wingdings" w:hAnsi="Wingdings"/>
      </w:rPr>
    </w:lvl>
    <w:lvl w:ilvl="6" w:tentative="0">
      <w:start w:val="1"/>
      <w:numFmt w:val="bullet"/>
      <w:lvlText w:val=""/>
      <w:lvlJc w:val="left"/>
      <w:pPr>
        <w:ind w:left="3382" w:hanging="420"/>
      </w:pPr>
      <w:rPr>
        <w:rFonts w:hint="default" w:ascii="Wingdings" w:hAnsi="Wingdings"/>
      </w:rPr>
    </w:lvl>
    <w:lvl w:ilvl="7" w:tentative="0">
      <w:start w:val="1"/>
      <w:numFmt w:val="bullet"/>
      <w:lvlText w:val=""/>
      <w:lvlJc w:val="left"/>
      <w:pPr>
        <w:ind w:left="3802" w:hanging="420"/>
      </w:pPr>
      <w:rPr>
        <w:rFonts w:hint="default" w:ascii="Wingdings" w:hAnsi="Wingdings"/>
      </w:rPr>
    </w:lvl>
    <w:lvl w:ilvl="8" w:tentative="0">
      <w:start w:val="1"/>
      <w:numFmt w:val="bullet"/>
      <w:lvlText w:val=""/>
      <w:lvlJc w:val="left"/>
      <w:pPr>
        <w:ind w:left="422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4D2EAF"/>
    <w:rsid w:val="1B4D2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rPr>
      <w:sz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2026-06-01T07:27:00Z</dcterms:created>
  <dc:creator>懒猫  </dc:creator>
  <cp:lastModifiedBy>懒猫  </cp:lastModifiedBy>
  <dcterms:modified xsi:type="dcterms:W3CDTF">2026-06-01T07:28:15Z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8BCB8AAE7A44453B862BB3073E54B4E7_11</vt:lpwstr>
  </property>
  <property fmtid="{D5CDD505-2E9C-101B-9397-08002B2CF9AE}" pid="4" name="KSOTemplateDocerSaveRecord">
    <vt:lpwstr>eyJoZGlkIjoiNDFkYTdkMGJjYzk0ZWRiYWI0NmVlODAzYzliZDA0ZjkiLCJ1c2VySWQiOiIzNjA1NjM4MjAifQ==</vt:lpwstr>
  </property>
</Properties>
</file>