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08AE6">
      <w:pPr>
        <w:widowControl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关于做好202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季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博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士、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士学位申请工作的通知</w:t>
      </w:r>
    </w:p>
    <w:p w14:paraId="0276972D">
      <w:pPr>
        <w:widowControl/>
        <w:spacing w:line="360" w:lineRule="auto"/>
        <w:jc w:val="both"/>
        <w:rPr>
          <w:rFonts w:hint="eastAsia" w:ascii="宋体" w:hAnsi="宋体"/>
          <w:sz w:val="24"/>
        </w:rPr>
      </w:pPr>
    </w:p>
    <w:p w14:paraId="0EC34465">
      <w:pPr>
        <w:widowControl/>
        <w:spacing w:line="360" w:lineRule="auto"/>
        <w:jc w:val="both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各培养单位、各专业指导组、各位导师及博士、硕士研究生：</w:t>
      </w:r>
    </w:p>
    <w:p w14:paraId="55CAA116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为做好我校202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冬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季</w:t>
      </w:r>
      <w:r>
        <w:rPr>
          <w:rFonts w:hint="eastAsia" w:ascii="仿宋_GB2312" w:hAnsi="仿宋_GB2312" w:eastAsia="仿宋_GB2312" w:cs="仿宋_GB2312"/>
          <w:sz w:val="24"/>
        </w:rPr>
        <w:t>博士、硕士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学位申请工作，现将有关事项通知如下：</w:t>
      </w:r>
    </w:p>
    <w:p w14:paraId="5FF3632D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一、学位申请前期准备</w:t>
      </w:r>
    </w:p>
    <w:p w14:paraId="034E46D4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在学生提出学位申请前，培养单位研究生工作管理人员须完成研究生毕业资格审核。</w:t>
      </w:r>
    </w:p>
    <w:p w14:paraId="157FA883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学位申请所有流程，包括提出学位申请（上传论文）、预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答辩、重合率检测、论文评阅、学位答辩均在研究生管理信息系统完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成。</w:t>
      </w:r>
    </w:p>
    <w:p w14:paraId="61B9055F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二、学位申请</w:t>
      </w:r>
    </w:p>
    <w:p w14:paraId="5B0D4801">
      <w:pPr>
        <w:widowControl/>
        <w:numPr>
          <w:ilvl w:val="0"/>
          <w:numId w:val="0"/>
        </w:numPr>
        <w:spacing w:line="360" w:lineRule="auto"/>
        <w:ind w:firstLine="482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研究生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应在</w:t>
      </w:r>
      <w:r>
        <w:rPr>
          <w:rFonts w:hint="eastAsia" w:ascii="仿宋_GB2312" w:hAnsi="仿宋_GB2312" w:eastAsia="仿宋_GB2312" w:cs="仿宋_GB2312"/>
          <w:sz w:val="24"/>
        </w:rPr>
        <w:t>导师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指导下，</w:t>
      </w:r>
      <w:r>
        <w:rPr>
          <w:rFonts w:hint="eastAsia" w:ascii="仿宋_GB2312" w:hAnsi="仿宋_GB2312" w:eastAsia="仿宋_GB2312" w:cs="仿宋_GB2312"/>
          <w:sz w:val="24"/>
        </w:rPr>
        <w:t>按照本学科、专业制定的学位论文撰写规范完成学位论文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各学科专业论文撰写规范及模板见：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instrText xml:space="preserve"> HYPERLINK "https://yjsy.scnu.edu.cn/xwgz/xwsy/）。" </w:instrTex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fldChar w:fldCharType="separate"/>
      </w:r>
      <w:r>
        <w:rPr>
          <w:rStyle w:val="36"/>
          <w:rFonts w:hint="eastAsia" w:ascii="仿宋_GB2312" w:hAnsi="仿宋_GB2312" w:eastAsia="仿宋_GB2312" w:cs="仿宋_GB2312"/>
          <w:sz w:val="24"/>
          <w:lang w:val="en-US" w:eastAsia="zh-CN"/>
        </w:rPr>
        <w:t>https://yjsy.scnu.edu.cn/xwgz/xwsy/</w:t>
      </w:r>
      <w:r>
        <w:rPr>
          <w:rStyle w:val="36"/>
          <w:rFonts w:hint="eastAsia" w:ascii="仿宋_GB2312" w:hAnsi="仿宋_GB2312" w:eastAsia="仿宋_GB2312" w:cs="仿宋_GB2312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fldChar w:fldCharType="end"/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，并按照本单位的时间表和要求提交学位申请材料。</w:t>
      </w:r>
    </w:p>
    <w:p w14:paraId="645BC769">
      <w:pPr>
        <w:widowControl/>
        <w:numPr>
          <w:ilvl w:val="0"/>
          <w:numId w:val="0"/>
        </w:numPr>
        <w:spacing w:line="360" w:lineRule="auto"/>
        <w:ind w:firstLine="482"/>
        <w:jc w:val="both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highlight w:val="none"/>
          <w:u w:val="single"/>
          <w:lang w:val="en-US" w:eastAsia="zh-CN"/>
        </w:rPr>
        <w:t>在学位论文中使用人工智能工具应根据《负责任研究行为规范指引》（科技部监督司编，2023年12月）和《人工智能生成合成内容标识办法》（国信办通字〔2025〕2号）规范标注。</w:t>
      </w:r>
      <w:r>
        <w:rPr>
          <w:rFonts w:hint="eastAsia" w:ascii="仿宋_GB2312" w:hAnsi="仿宋_GB2312" w:eastAsia="仿宋_GB2312" w:cs="仿宋_GB2312"/>
          <w:sz w:val="24"/>
          <w:u w:val="single"/>
        </w:rPr>
        <w:t>各单位、学科和导师应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对研究生</w:t>
      </w:r>
      <w:r>
        <w:rPr>
          <w:rFonts w:hint="eastAsia" w:ascii="仿宋_GB2312" w:hAnsi="仿宋_GB2312" w:eastAsia="仿宋_GB2312" w:cs="仿宋_GB2312"/>
          <w:sz w:val="24"/>
          <w:u w:val="single"/>
        </w:rPr>
        <w:t>加强学术诚信教育，坚决抵制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代写、剽窃、伪造等</w:t>
      </w:r>
      <w:r>
        <w:rPr>
          <w:rFonts w:hint="eastAsia" w:ascii="仿宋_GB2312" w:hAnsi="仿宋_GB2312" w:eastAsia="仿宋_GB2312" w:cs="仿宋_GB2312"/>
          <w:sz w:val="24"/>
          <w:u w:val="single"/>
        </w:rPr>
        <w:t>学术不端行为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一经查实，将依法不授予学位或者撤销学位。</w:t>
      </w:r>
    </w:p>
    <w:p w14:paraId="36F1DFE5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 w:bidi="ar-SA"/>
        </w:rPr>
        <w:t>所有博士学位论文和需重点关注的硕士学位论文均须组织预答辩。“需重点关注的学位论文”范围详见</w:t>
      </w: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 w:bidi="ar-SA"/>
        </w:rPr>
        <w:t>《华南师范大学硕士、博士学位授予工作实施细则》（华师研院〔2025〕1号）第七条规定。</w:t>
      </w:r>
    </w:p>
    <w:p w14:paraId="47D1CF4F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sz w:val="24"/>
          <w:szCs w:val="24"/>
          <w:u w:val="single"/>
          <w:lang w:bidi="ar-SA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导师、</w:t>
      </w:r>
      <w:r>
        <w:rPr>
          <w:rFonts w:hint="eastAsia" w:ascii="仿宋_GB2312" w:hAnsi="仿宋_GB2312" w:eastAsia="仿宋_GB2312" w:cs="仿宋_GB2312"/>
          <w:color w:val="auto"/>
          <w:sz w:val="24"/>
        </w:rPr>
        <w:t>学科专业指导组和各学位评定分委员会须对申请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24"/>
        </w:rPr>
        <w:t>严格审查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包括但不限于学分、学习年限、导师和指导组意见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、以预答辩和重合率检测为主的学位论文审查等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审查通过的，受理学位申请</w:t>
      </w:r>
      <w:r>
        <w:rPr>
          <w:rFonts w:hint="eastAsia" w:ascii="仿宋_GB2312" w:hAnsi="仿宋_GB2312" w:eastAsia="仿宋_GB2312" w:cs="仿宋_GB2312"/>
          <w:sz w:val="24"/>
        </w:rPr>
        <w:t>。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各单位工作人员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bidi="ar-SA"/>
        </w:rPr>
        <w:t>在论文审查过程中发现异常状况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 w:bidi="ar-SA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 w:bidi="ar-SA"/>
        </w:rPr>
        <w:t>包括但不限于论文重合率较高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 w:bidi="ar-SA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bidi="ar-SA"/>
        </w:rPr>
        <w:t>，应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 w:bidi="ar-SA"/>
        </w:rPr>
        <w:t>及时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bidi="ar-SA"/>
        </w:rPr>
        <w:t>向本单位学位评定分委员会报告。</w:t>
      </w:r>
    </w:p>
    <w:p w14:paraId="04C6DF29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lang w:val="en-US" w:eastAsia="zh-CN"/>
        </w:rPr>
        <w:t>专家评阅</w:t>
      </w:r>
    </w:p>
    <w:p w14:paraId="1F1E905C">
      <w:pPr>
        <w:widowControl/>
        <w:spacing w:line="360" w:lineRule="auto"/>
        <w:ind w:firstLine="480"/>
        <w:jc w:val="both"/>
        <w:rPr>
          <w:rFonts w:hint="default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学位论文专家评阅须通过第三方平台进行，实行“双盲”评阅。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自2026年冬季起，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教育部学位中心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 w:fill="auto"/>
        </w:rPr>
        <w:t>学位论文质量监测服务平台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/>
          <w:lang w:val="en-US" w:eastAsia="zh-CN"/>
        </w:rPr>
        <w:t>的上传、送审、结果下载、回传学校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研究生管理信息系统等业务流程，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/>
          <w:lang w:val="en-US" w:eastAsia="zh-CN"/>
        </w:rPr>
        <w:t>均由各单位完成，平台操作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培训另行通知。务必提前检查和更新平台里的评阅书格式，确保为学校最新模板，教育部学位中心平台的模板已统一更新。</w:t>
      </w:r>
    </w:p>
    <w:p w14:paraId="2EB53209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所有平台的</w:t>
      </w:r>
      <w:r>
        <w:rPr>
          <w:rFonts w:hint="eastAsia" w:ascii="仿宋_GB2312" w:hAnsi="仿宋_GB2312" w:eastAsia="仿宋_GB2312" w:cs="仿宋_GB2312"/>
          <w:color w:val="000000"/>
          <w:sz w:val="24"/>
        </w:rPr>
        <w:t>评阅意见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包括评阅结果excel表格、评阅书PDF压缩包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均</w:t>
      </w:r>
      <w:r>
        <w:rPr>
          <w:rFonts w:hint="eastAsia" w:ascii="仿宋_GB2312" w:hAnsi="仿宋_GB2312" w:eastAsia="仿宋_GB2312" w:cs="仿宋_GB2312"/>
          <w:color w:val="000000"/>
          <w:sz w:val="24"/>
        </w:rPr>
        <w:t>须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及时回传至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shd w:val="clear" w:color="auto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研究生管理信息系统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、由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导师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审阅并开放给研究生</w:t>
      </w:r>
      <w:r>
        <w:rPr>
          <w:rFonts w:hint="eastAsia" w:ascii="仿宋_GB2312" w:hAnsi="仿宋_GB2312" w:eastAsia="仿宋_GB2312" w:cs="仿宋_GB2312"/>
          <w:color w:val="000000"/>
          <w:sz w:val="24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符合学校规定的，进入答辩程序。</w:t>
      </w:r>
    </w:p>
    <w:p w14:paraId="740A794B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color w:val="000000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</w:rPr>
        <w:t>四、学位答辩</w:t>
      </w:r>
    </w:p>
    <w:p w14:paraId="0136EB9E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须严格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学校规定组织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24"/>
        </w:rPr>
        <w:t>答辩信息应提前3日在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各培养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单位网站首页向社会公开，接受监督。学位答辩原则上应以现场会议的形式进行，如有特殊情况，经指导组和学位评定分委员会同意，可采用网络视频方式进行。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各单位应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对答辩委员会成员名单严格审查，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校外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学位答辩主席应来自有相应层次学位授权点的单位，学科水平不低于我校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。</w:t>
      </w:r>
    </w:p>
    <w:p w14:paraId="7B314F13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所有学位申请人均须签署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《华南师范大学学位论文（实践成果）使用人工智能声明》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，并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在学位答辩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“宣读原创性声明”环节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宣读该声明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学位答辩通过后，将该声明添加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电子版与纸质版学位论文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《原创性声明》之前。</w:t>
      </w:r>
    </w:p>
    <w:p w14:paraId="45DA9017">
      <w:pPr>
        <w:widowControl/>
        <w:spacing w:line="360" w:lineRule="auto"/>
        <w:ind w:firstLine="480"/>
        <w:jc w:val="both"/>
        <w:rPr>
          <w:rFonts w:hint="default" w:ascii="仿宋_GB2312" w:hAnsi="仿宋_GB2312" w:eastAsia="仿宋_GB2312" w:cs="仿宋_GB2312"/>
          <w:color w:val="000000"/>
          <w:sz w:val="24"/>
          <w:szCs w:val="24"/>
          <w:u w:val="none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u w:val="none"/>
          <w:lang w:val="en-US" w:eastAsia="zh-CN"/>
        </w:rPr>
        <w:t>有意参加优秀论文评选的，须在答辩程序中增加推优环节，相关要求详见</w:t>
      </w:r>
      <w:r>
        <w:rPr>
          <w:rFonts w:hint="eastAsia" w:ascii="仿宋_GB2312" w:hAnsi="仿宋_GB2312" w:eastAsia="仿宋_GB2312" w:cs="仿宋_GB2312"/>
          <w:color w:val="000000"/>
          <w:spacing w:val="0"/>
          <w:sz w:val="24"/>
          <w:szCs w:val="24"/>
          <w:u w:val="none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u w:val="none"/>
          <w:lang w:val="en-US" w:eastAsia="zh-CN"/>
        </w:rPr>
        <w:t>华南师范大学优秀博士学位论文评选办法</w:t>
      </w:r>
      <w:r>
        <w:rPr>
          <w:rFonts w:hint="eastAsia" w:ascii="仿宋_GB2312" w:hAnsi="仿宋_GB2312" w:eastAsia="仿宋_GB2312" w:cs="仿宋_GB2312"/>
          <w:color w:val="000000"/>
          <w:spacing w:val="0"/>
          <w:sz w:val="24"/>
          <w:szCs w:val="24"/>
          <w:u w:val="none"/>
          <w:lang w:val="en-US" w:eastAsia="zh-CN"/>
        </w:rPr>
        <w:t>》（华师研院</w:t>
      </w: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 w:bidi="ar-SA"/>
        </w:rPr>
        <w:t>〔2025〕6号</w:t>
      </w:r>
      <w:r>
        <w:rPr>
          <w:rFonts w:hint="eastAsia" w:ascii="仿宋_GB2312" w:hAnsi="仿宋_GB2312" w:eastAsia="仿宋_GB2312" w:cs="仿宋_GB2312"/>
          <w:color w:val="000000"/>
          <w:spacing w:val="0"/>
          <w:sz w:val="24"/>
          <w:szCs w:val="24"/>
          <w:u w:val="none"/>
          <w:lang w:val="en-US" w:eastAsia="zh-CN"/>
        </w:rPr>
        <w:t>）。硕士学位论文评优细则由各单位制定并通知全院师生。</w:t>
      </w:r>
    </w:p>
    <w:p w14:paraId="33004D3A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黑体" w:hAnsi="黑体" w:eastAsia="黑体" w:cs="黑体"/>
          <w:color w:val="00000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 w:bidi="ar-SA"/>
        </w:rPr>
        <w:t>五、</w:t>
      </w:r>
      <w:r>
        <w:rPr>
          <w:rFonts w:hint="eastAsia" w:ascii="黑体" w:hAnsi="黑体" w:eastAsia="黑体" w:cs="黑体"/>
          <w:b w:val="0"/>
          <w:bCs w:val="0"/>
          <w:color w:val="000000"/>
          <w:sz w:val="24"/>
          <w:szCs w:val="24"/>
          <w:lang w:val="en-US" w:eastAsia="zh-CN"/>
        </w:rPr>
        <w:t>学位审议</w:t>
      </w:r>
    </w:p>
    <w:p w14:paraId="1805EE88">
      <w:pPr>
        <w:widowControl/>
        <w:numPr>
          <w:ilvl w:val="0"/>
          <w:numId w:val="0"/>
        </w:numPr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各学位评定分委员会应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组建不少于3人的成果认定工作小组，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对学位申请人用于申请学位的学术成果进行审查，确保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其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符合本学科、专业制定的具体要求。</w:t>
      </w:r>
    </w:p>
    <w:p w14:paraId="6B922A95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各单位需认真组织学位评定分委员会会议，确保会议有效、规范。各学位评定分委员会应认真行使审议职责，对重点审议论文严格审核，确保学位授予质量。对于在国家和广东省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  <w:t>学位</w:t>
      </w:r>
      <w:r>
        <w:rPr>
          <w:rFonts w:hint="eastAsia" w:ascii="仿宋_GB2312" w:hAnsi="仿宋_GB2312" w:eastAsia="仿宋_GB2312" w:cs="仿宋_GB2312"/>
          <w:color w:val="000000"/>
          <w:sz w:val="24"/>
          <w:szCs w:val="24"/>
        </w:rPr>
        <w:t>论文抽检中出现质量问题的，学校将依据有关规定严肃处理。</w:t>
      </w:r>
    </w:p>
    <w:p w14:paraId="520A6C5D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u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24"/>
        </w:rPr>
        <w:t>、</w:t>
      </w:r>
      <w:r>
        <w:rPr>
          <w:rFonts w:hint="eastAsia" w:ascii="黑体" w:hAnsi="黑体" w:eastAsia="黑体" w:cs="黑体"/>
          <w:b w:val="0"/>
          <w:bCs w:val="0"/>
          <w:sz w:val="24"/>
          <w:lang w:val="en-US" w:eastAsia="zh-CN"/>
        </w:rPr>
        <w:t>学位材料提交与论文质量管理</w:t>
      </w:r>
    </w:p>
    <w:p w14:paraId="040E3DE6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sz w:val="24"/>
          <w:u w:val="single"/>
        </w:rPr>
      </w:pPr>
      <w:r>
        <w:rPr>
          <w:rFonts w:hint="eastAsia" w:ascii="仿宋_GB2312" w:hAnsi="仿宋_GB2312" w:eastAsia="仿宋_GB2312" w:cs="仿宋_GB2312"/>
          <w:sz w:val="24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4"/>
        </w:rPr>
        <w:t>根据学校保密工作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有关</w:t>
      </w:r>
      <w:r>
        <w:rPr>
          <w:rFonts w:hint="eastAsia" w:ascii="仿宋_GB2312" w:hAnsi="仿宋_GB2312" w:eastAsia="仿宋_GB2312" w:cs="仿宋_GB2312"/>
          <w:sz w:val="24"/>
        </w:rPr>
        <w:t>要求，凡涉密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学位</w:t>
      </w:r>
      <w:r>
        <w:rPr>
          <w:rFonts w:hint="eastAsia" w:ascii="仿宋_GB2312" w:hAnsi="仿宋_GB2312" w:eastAsia="仿宋_GB2312" w:cs="仿宋_GB2312"/>
          <w:sz w:val="24"/>
        </w:rPr>
        <w:t>论文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和内部论文</w:t>
      </w:r>
      <w:r>
        <w:rPr>
          <w:rFonts w:hint="eastAsia" w:ascii="仿宋_GB2312" w:hAnsi="仿宋_GB2312" w:eastAsia="仿宋_GB2312" w:cs="仿宋_GB2312"/>
          <w:sz w:val="24"/>
        </w:rPr>
        <w:t>必须根据学校规定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事先</w:t>
      </w:r>
      <w:r>
        <w:rPr>
          <w:rFonts w:hint="eastAsia" w:ascii="仿宋_GB2312" w:hAnsi="仿宋_GB2312" w:eastAsia="仿宋_GB2312" w:cs="仿宋_GB2312"/>
          <w:sz w:val="24"/>
        </w:rPr>
        <w:t>申请，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获</w:t>
      </w:r>
      <w:r>
        <w:rPr>
          <w:rFonts w:hint="eastAsia" w:ascii="仿宋_GB2312" w:hAnsi="仿宋_GB2312" w:eastAsia="仿宋_GB2312" w:cs="仿宋_GB2312"/>
          <w:sz w:val="24"/>
        </w:rPr>
        <w:t>批准后方可开题及撰写，并按有关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要求安排</w:t>
      </w:r>
      <w:r>
        <w:rPr>
          <w:rFonts w:hint="eastAsia" w:ascii="仿宋_GB2312" w:hAnsi="仿宋_GB2312" w:eastAsia="仿宋_GB2312" w:cs="仿宋_GB2312"/>
          <w:sz w:val="24"/>
        </w:rPr>
        <w:t>送专家评阅及答辩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在提交终版论文时提出的定密或内部论文申请一律不予接收，且将按文件追究相关责任。</w:t>
      </w:r>
      <w:r>
        <w:rPr>
          <w:rFonts w:hint="eastAsia" w:ascii="仿宋_GB2312" w:hAnsi="仿宋_GB2312" w:eastAsia="仿宋_GB2312" w:cs="仿宋_GB2312"/>
          <w:sz w:val="24"/>
          <w:u w:val="single"/>
        </w:rPr>
        <w:t>内部论文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>须正常参加抽检，涉密论文解密后将100%列入省和国家抽检名单</w:t>
      </w:r>
      <w:r>
        <w:rPr>
          <w:rFonts w:hint="eastAsia" w:ascii="仿宋_GB2312" w:hAnsi="仿宋_GB2312" w:eastAsia="仿宋_GB2312" w:cs="仿宋_GB2312"/>
          <w:sz w:val="24"/>
          <w:u w:val="single"/>
        </w:rPr>
        <w:t>。</w:t>
      </w:r>
    </w:p>
    <w:p w14:paraId="020A0E60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sz w:val="24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4"/>
        </w:rPr>
        <w:t>为</w:t>
      </w:r>
      <w:r>
        <w:rPr>
          <w:rFonts w:hint="eastAsia" w:ascii="仿宋_GB2312" w:hAnsi="仿宋_GB2312" w:eastAsia="仿宋_GB2312" w:cs="仿宋_GB2312"/>
          <w:sz w:val="24"/>
          <w:lang w:bidi="ar"/>
        </w:rPr>
        <w:t>加强学位授予全过程质量管理</w:t>
      </w:r>
      <w:r>
        <w:rPr>
          <w:rFonts w:hint="eastAsia" w:ascii="仿宋_GB2312" w:hAnsi="仿宋_GB2312" w:eastAsia="仿宋_GB2312" w:cs="仿宋_GB2312"/>
          <w:sz w:val="24"/>
        </w:rPr>
        <w:t>，学校逐步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sz w:val="24"/>
          <w:lang w:bidi="ar"/>
        </w:rPr>
        <w:t>学位论文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公开制度</w:t>
      </w:r>
      <w:r>
        <w:rPr>
          <w:rFonts w:hint="eastAsia" w:ascii="仿宋_GB2312" w:hAnsi="仿宋_GB2312" w:eastAsia="仿宋_GB2312" w:cs="仿宋_GB2312"/>
          <w:sz w:val="24"/>
          <w:lang w:bidi="ar"/>
        </w:rPr>
        <w:t>，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已于</w:t>
      </w:r>
      <w:r>
        <w:rPr>
          <w:rFonts w:hint="eastAsia" w:ascii="仿宋_GB2312" w:hAnsi="仿宋_GB2312" w:eastAsia="仿宋_GB2312" w:cs="仿宋_GB2312"/>
          <w:sz w:val="24"/>
        </w:rPr>
        <w:t>2025年6月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起</w:t>
      </w:r>
      <w:r>
        <w:rPr>
          <w:rFonts w:hint="eastAsia" w:ascii="仿宋_GB2312" w:hAnsi="仿宋_GB2312" w:eastAsia="仿宋_GB2312" w:cs="仿宋_GB2312"/>
          <w:sz w:val="24"/>
        </w:rPr>
        <w:t>公开博士学位论文，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2026年6月起公开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马克思主义理论、心理学、教育学、体育学和物理学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等五个学科全日制学术型硕士学位论文，预计2027年开始</w:t>
      </w:r>
      <w:r>
        <w:rPr>
          <w:rFonts w:hint="eastAsia" w:ascii="仿宋_GB2312" w:hAnsi="仿宋_GB2312" w:eastAsia="仿宋_GB2312" w:cs="仿宋_GB2312"/>
          <w:sz w:val="24"/>
        </w:rPr>
        <w:t>公开所有博士、硕士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24"/>
        </w:rPr>
        <w:t>位论文</w:t>
      </w:r>
      <w:r>
        <w:rPr>
          <w:rFonts w:hint="eastAsia" w:ascii="仿宋_GB2312" w:hAnsi="仿宋_GB2312" w:eastAsia="仿宋_GB2312" w:cs="仿宋_GB2312"/>
          <w:sz w:val="24"/>
          <w:lang w:bidi="ar"/>
        </w:rPr>
        <w:t>。</w:t>
      </w:r>
      <w:r>
        <w:rPr>
          <w:rFonts w:hint="eastAsia" w:ascii="仿宋_GB2312" w:hAnsi="仿宋_GB2312" w:eastAsia="仿宋_GB2312" w:cs="仿宋_GB2312"/>
          <w:sz w:val="24"/>
          <w:lang w:val="en-US" w:eastAsia="zh-CN" w:bidi="ar"/>
        </w:rPr>
        <w:t>学位申请人应在论文归档时签署并</w:t>
      </w:r>
      <w:r>
        <w:rPr>
          <w:rFonts w:hint="eastAsia" w:ascii="仿宋_GB2312" w:hAnsi="仿宋_GB2312" w:eastAsia="仿宋_GB2312" w:cs="仿宋_GB2312"/>
          <w:sz w:val="24"/>
          <w:u w:val="none"/>
          <w:lang w:val="en-US" w:eastAsia="zh-CN" w:bidi="ar"/>
        </w:rPr>
        <w:t>提交《华南师范大学学位论文使用授权书》。</w:t>
      </w:r>
    </w:p>
    <w:p w14:paraId="5CD87AF2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培养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单位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须根据学校整体时间表（附件1），制定本分委会的学位授予工作日程安排和要求，及时向师生公布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并于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single"/>
          <w:lang w:val="en-US" w:eastAsia="zh-CN"/>
        </w:rPr>
        <w:t>2026年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single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single"/>
          <w:lang w:val="en-US" w:eastAsia="zh-CN"/>
        </w:rPr>
        <w:t>月10日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前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按照附件1的要求向研究生院提交学位申请材料</w:t>
      </w:r>
      <w:r>
        <w:rPr>
          <w:rFonts w:hint="eastAsia" w:ascii="仿宋_GB2312" w:hAnsi="仿宋_GB2312" w:eastAsia="仿宋_GB2312" w:cs="仿宋_GB2312"/>
          <w:sz w:val="24"/>
          <w:u w:val="none"/>
          <w:lang w:val="en-US" w:eastAsia="zh-CN"/>
        </w:rPr>
        <w:t>（含《华南师范大学学位论文使用授权书》）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</w:rPr>
        <w:t>。各位导师、研究生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</w:rPr>
        <w:t>严格按照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本单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位的时间表完成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学位申请事宜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凡未在规定时间内提交材料的，视为自动放弃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。</w:t>
      </w:r>
    </w:p>
    <w:p w14:paraId="3B4C075D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4.冬季批次学位获得者须于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single"/>
          <w:lang w:val="en-US" w:eastAsia="zh-CN"/>
        </w:rPr>
        <w:t>12月20日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前在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研究生管理信息系统--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论文归档模块提交电子版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eastAsia="zh-CN"/>
        </w:rPr>
        <w:t>学位论文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val="en-US" w:eastAsia="zh-CN"/>
        </w:rPr>
        <w:t>终稿，经审核通过后提交最终存档的</w:t>
      </w:r>
      <w:r>
        <w:rPr>
          <w:rFonts w:hint="eastAsia" w:ascii="仿宋_GB2312" w:hAnsi="仿宋_GB2312" w:eastAsia="仿宋_GB2312" w:cs="仿宋_GB2312"/>
          <w:color w:val="000000"/>
          <w:sz w:val="24"/>
          <w:u w:val="single"/>
          <w:lang w:eastAsia="zh-CN"/>
        </w:rPr>
        <w:t>纸质版，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向各部门提交的版本务必一致，均需签字盖章完备，将用于学位论文抽检和论文公开；论文封面题目、导师须与系统一致，用于学位数据上报。校委会前各环节审议版本的学位论文纸质版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  <w:t>可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u w:val="none"/>
          <w:lang w:val="en-US" w:eastAsia="zh-CN"/>
        </w:rPr>
        <w:t>不使用学校统一封面胶装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val="en-US" w:eastAsia="zh-CN"/>
        </w:rPr>
        <w:t>除必要外</w:t>
      </w:r>
      <w:r>
        <w:rPr>
          <w:rFonts w:hint="eastAsia" w:ascii="仿宋_GB2312" w:hAnsi="仿宋_GB2312" w:eastAsia="仿宋_GB2312" w:cs="仿宋_GB2312"/>
          <w:color w:val="000000"/>
          <w:sz w:val="24"/>
          <w:u w:val="none"/>
          <w:lang w:eastAsia="zh-CN"/>
        </w:rPr>
        <w:t>无需彩打。</w:t>
      </w:r>
    </w:p>
    <w:p w14:paraId="75088526">
      <w:pPr>
        <w:widowControl/>
        <w:spacing w:line="360" w:lineRule="auto"/>
        <w:ind w:firstLine="4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研究生院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和研究生教学督导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将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随机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对各单位学位审核过程进行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督导检查</w:t>
      </w:r>
      <w:r>
        <w:rPr>
          <w:rFonts w:hint="eastAsia" w:ascii="仿宋_GB2312" w:hAnsi="仿宋_GB2312" w:eastAsia="仿宋_GB2312" w:cs="仿宋_GB2312"/>
          <w:color w:val="000000"/>
          <w:sz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未尽事宜由研究生院和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学位评定委员会根据相关规定审议处理。</w:t>
      </w:r>
    </w:p>
    <w:p w14:paraId="5DF32180">
      <w:pPr>
        <w:widowControl/>
        <w:spacing w:line="360" w:lineRule="auto"/>
        <w:ind w:firstLine="480"/>
        <w:jc w:val="both"/>
        <w:rPr>
          <w:rFonts w:hint="eastAsia" w:ascii="黑体" w:hAnsi="黑体" w:eastAsia="黑体" w:cs="黑体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七、</w:t>
      </w:r>
      <w:r>
        <w:rPr>
          <w:rFonts w:hint="eastAsia" w:ascii="黑体" w:hAnsi="黑体" w:eastAsia="黑体" w:cs="黑体"/>
          <w:color w:val="auto"/>
          <w:sz w:val="24"/>
          <w:lang w:val="en-US" w:eastAsia="zh-CN"/>
        </w:rPr>
        <w:t>学位证书发放</w:t>
      </w:r>
    </w:p>
    <w:p w14:paraId="34AD74D5">
      <w:pPr>
        <w:widowControl/>
        <w:numPr>
          <w:ilvl w:val="-1"/>
          <w:numId w:val="0"/>
        </w:numPr>
        <w:spacing w:line="360" w:lineRule="auto"/>
        <w:ind w:firstLine="480" w:firstLineChars="200"/>
        <w:jc w:val="both"/>
        <w:rPr>
          <w:rFonts w:hint="default" w:ascii="仿宋_GB2312" w:hAnsi="仿宋_GB2312" w:eastAsia="仿宋_GB2312" w:cs="仿宋_GB2312"/>
          <w:color w:val="000000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冬季批次学位证书计划在2026年12月31日前发放至各单位。</w:t>
      </w:r>
    </w:p>
    <w:p w14:paraId="181F8B81">
      <w:pPr>
        <w:widowControl/>
        <w:spacing w:line="360" w:lineRule="auto"/>
        <w:ind w:left="2394" w:firstLine="43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</w:p>
    <w:p w14:paraId="6195F3D9">
      <w:pPr>
        <w:widowControl/>
        <w:spacing w:line="360" w:lineRule="auto"/>
        <w:ind w:left="2394" w:firstLine="4380"/>
        <w:jc w:val="both"/>
        <w:rPr>
          <w:rFonts w:hint="eastAsia" w:ascii="仿宋_GB2312" w:hAnsi="仿宋_GB2312" w:eastAsia="仿宋_GB2312" w:cs="仿宋_GB2312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研究生院</w:t>
      </w:r>
    </w:p>
    <w:p w14:paraId="62438E82">
      <w:pPr>
        <w:widowControl/>
        <w:spacing w:line="360" w:lineRule="auto"/>
        <w:ind w:firstLine="6302"/>
        <w:jc w:val="both"/>
        <w:rPr>
          <w:rFonts w:hint="eastAsia" w:ascii="宋体" w:hAnsi="宋体"/>
          <w:color w:val="000000"/>
          <w:sz w:val="24"/>
        </w:rPr>
      </w:pPr>
      <w:r>
        <w:rPr>
          <w:rFonts w:hint="eastAsia" w:ascii="仿宋_GB2312" w:hAnsi="仿宋_GB2312" w:eastAsia="仿宋_GB2312" w:cs="仿宋_GB2312"/>
          <w:color w:val="000000"/>
          <w:sz w:val="24"/>
        </w:rPr>
        <w:t>202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z w:val="24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24"/>
          <w:highlight w:val="none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000000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1701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trackRevisions w:val="1"/>
  <w:documentProtection w:enforcement="0"/>
  <w:defaultTabStop w:val="420"/>
  <w:characterSpacingControl w:val="doNotCompress"/>
  <w:compat>
    <w:balanceSingleByteDoubleByteWidth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C5C36"/>
    <w:rsid w:val="0A2A08A0"/>
    <w:rsid w:val="1AE16957"/>
    <w:rsid w:val="25BB6185"/>
    <w:rsid w:val="35D42277"/>
    <w:rsid w:val="35EF5040"/>
    <w:rsid w:val="36B25798"/>
    <w:rsid w:val="3BCF18BF"/>
    <w:rsid w:val="3E6B7176"/>
    <w:rsid w:val="451A1035"/>
    <w:rsid w:val="4DE566F3"/>
    <w:rsid w:val="5281021D"/>
    <w:rsid w:val="55323BA8"/>
    <w:rsid w:val="57AC301B"/>
    <w:rsid w:val="57FF316F"/>
    <w:rsid w:val="72E014A2"/>
    <w:rsid w:val="74784559"/>
    <w:rsid w:val="74DC0916"/>
    <w:rsid w:val="77FA5285"/>
    <w:rsid w:val="7DA313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06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4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4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">
    <w:name w:val="heading 7"/>
    <w:basedOn w:val="1"/>
    <w:next w:val="1"/>
    <w:link w:val="4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5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10">
    <w:name w:val="heading 9"/>
    <w:basedOn w:val="1"/>
    <w:next w:val="1"/>
    <w:link w:val="5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9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62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60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55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88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sz w:val="24"/>
      <w:lang w:val="en-US" w:eastAsia="zh-CN" w:bidi="ar"/>
    </w:rPr>
  </w:style>
  <w:style w:type="paragraph" w:styleId="28">
    <w:name w:val="Title"/>
    <w:basedOn w:val="1"/>
    <w:next w:val="1"/>
    <w:link w:val="54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30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2">
    <w:name w:val="Strong"/>
    <w:basedOn w:val="31"/>
    <w:qFormat/>
    <w:uiPriority w:val="0"/>
    <w:rPr>
      <w:b/>
    </w:rPr>
  </w:style>
  <w:style w:type="character" w:styleId="33">
    <w:name w:val="endnote reference"/>
    <w:semiHidden/>
    <w:unhideWhenUsed/>
    <w:qFormat/>
    <w:uiPriority w:val="99"/>
    <w:rPr>
      <w:vertAlign w:val="superscript"/>
    </w:rPr>
  </w:style>
  <w:style w:type="character" w:styleId="34">
    <w:name w:val="FollowedHyperlink"/>
    <w:basedOn w:val="3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35">
    <w:name w:val="Emphasis"/>
    <w:basedOn w:val="31"/>
    <w:qFormat/>
    <w:uiPriority w:val="20"/>
    <w:rPr>
      <w:i/>
      <w:iCs/>
    </w:rPr>
  </w:style>
  <w:style w:type="character" w:styleId="36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7">
    <w:name w:val="footnote reference"/>
    <w:unhideWhenUsed/>
    <w:qFormat/>
    <w:uiPriority w:val="99"/>
    <w:rPr>
      <w:vertAlign w:val="superscript"/>
    </w:rPr>
  </w:style>
  <w:style w:type="character" w:customStyle="1" w:styleId="38">
    <w:name w:val="Intense Emphasis"/>
    <w:basedOn w:val="31"/>
    <w:qFormat/>
    <w:uiPriority w:val="21"/>
    <w:rPr>
      <w:i/>
      <w:iCs/>
      <w:color w:val="376092" w:themeColor="accent1" w:themeShade="BF"/>
    </w:rPr>
  </w:style>
  <w:style w:type="character" w:customStyle="1" w:styleId="39">
    <w:name w:val="Intense Reference"/>
    <w:basedOn w:val="31"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40">
    <w:name w:val="Subtle Emphasis"/>
    <w:basedOn w:val="3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1">
    <w:name w:val="Subtle Reference"/>
    <w:basedOn w:val="3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">
    <w:name w:val="Book Title"/>
    <w:basedOn w:val="31"/>
    <w:qFormat/>
    <w:uiPriority w:val="33"/>
    <w:rPr>
      <w:b/>
      <w:bCs/>
      <w:i/>
      <w:iCs/>
      <w:spacing w:val="5"/>
    </w:rPr>
  </w:style>
  <w:style w:type="character" w:customStyle="1" w:styleId="43">
    <w:name w:val="Heading 1 Char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44">
    <w:name w:val="Heading 2 Char"/>
    <w:link w:val="3"/>
    <w:qFormat/>
    <w:uiPriority w:val="9"/>
    <w:rPr>
      <w:rFonts w:ascii="Arial" w:hAnsi="Arial" w:eastAsia="Arial" w:cs="Arial"/>
      <w:sz w:val="34"/>
    </w:rPr>
  </w:style>
  <w:style w:type="character" w:customStyle="1" w:styleId="45">
    <w:name w:val="Heading 3 Char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6">
    <w:name w:val="Heading 4 Char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7">
    <w:name w:val="Heading 5 Char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8">
    <w:name w:val="Heading 6 Char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9">
    <w:name w:val="Heading 7 Char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50">
    <w:name w:val="Heading 8 Char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51">
    <w:name w:val="Heading 9 Char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52">
    <w:name w:val="List Paragraph"/>
    <w:basedOn w:val="1"/>
    <w:qFormat/>
    <w:uiPriority w:val="34"/>
    <w:pPr>
      <w:ind w:left="720"/>
      <w:contextualSpacing/>
    </w:pPr>
  </w:style>
  <w:style w:type="paragraph" w:styleId="53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54">
    <w:name w:val="Title Char"/>
    <w:link w:val="28"/>
    <w:qFormat/>
    <w:uiPriority w:val="10"/>
    <w:rPr>
      <w:sz w:val="48"/>
      <w:szCs w:val="48"/>
    </w:rPr>
  </w:style>
  <w:style w:type="character" w:customStyle="1" w:styleId="55">
    <w:name w:val="Subtitle Char"/>
    <w:link w:val="21"/>
    <w:qFormat/>
    <w:uiPriority w:val="11"/>
    <w:rPr>
      <w:sz w:val="24"/>
      <w:szCs w:val="24"/>
    </w:rPr>
  </w:style>
  <w:style w:type="paragraph" w:styleId="56">
    <w:name w:val="Quote"/>
    <w:basedOn w:val="1"/>
    <w:next w:val="1"/>
    <w:link w:val="57"/>
    <w:qFormat/>
    <w:uiPriority w:val="29"/>
    <w:pPr>
      <w:ind w:left="720" w:right="720"/>
    </w:pPr>
    <w:rPr>
      <w:i/>
    </w:rPr>
  </w:style>
  <w:style w:type="character" w:customStyle="1" w:styleId="57">
    <w:name w:val="Quote Char"/>
    <w:link w:val="56"/>
    <w:qFormat/>
    <w:uiPriority w:val="29"/>
    <w:rPr>
      <w:i/>
    </w:rPr>
  </w:style>
  <w:style w:type="paragraph" w:styleId="58">
    <w:name w:val="Intense Quote"/>
    <w:basedOn w:val="1"/>
    <w:next w:val="1"/>
    <w:link w:val="5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9">
    <w:name w:val="Intense Quote Char"/>
    <w:link w:val="58"/>
    <w:qFormat/>
    <w:uiPriority w:val="30"/>
    <w:rPr>
      <w:i/>
    </w:rPr>
  </w:style>
  <w:style w:type="character" w:customStyle="1" w:styleId="60">
    <w:name w:val="Header Char"/>
    <w:link w:val="18"/>
    <w:qFormat/>
    <w:uiPriority w:val="99"/>
  </w:style>
  <w:style w:type="character" w:customStyle="1" w:styleId="61">
    <w:name w:val="Footer Char"/>
    <w:link w:val="17"/>
    <w:qFormat/>
    <w:uiPriority w:val="99"/>
  </w:style>
  <w:style w:type="character" w:customStyle="1" w:styleId="62">
    <w:name w:val="Caption Char"/>
    <w:link w:val="17"/>
    <w:qFormat/>
    <w:uiPriority w:val="99"/>
  </w:style>
  <w:style w:type="table" w:customStyle="1" w:styleId="63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64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Plain Table 3"/>
    <w:qFormat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Plain Table 4"/>
    <w:qFormat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Plain Table 5"/>
    <w:qFormat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2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2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3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3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3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3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4 - Accent 3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4 - Accent 5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6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7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8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9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00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01">
    <w:name w:val="Grid Table 5 Dark- Accent 4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02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03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04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9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0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1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12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13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14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15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16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7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18">
    <w:name w:val="List Table 1 Light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1 Light - Accent 1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1 Light - Accent 2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1 Light - Accent 3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1 Light - Accent 4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1 Light - Accent 5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1 Light - Accent 6"/>
    <w:qFormat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8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9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0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1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2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3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4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5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46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47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48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9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50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51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52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53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9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0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1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62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3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4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5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6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67">
    <w:name w:val="Lined - Accent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8">
    <w:name w:val="Lined - Accent 1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9">
    <w:name w:val="Lined - Accent 2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70">
    <w:name w:val="Lined - Accent 3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Lined - Accent 4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Lined - Accent 5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3">
    <w:name w:val="Lined - Accent 6"/>
    <w:qFormat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4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75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76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77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78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9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80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81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2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3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4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5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6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87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88">
    <w:name w:val="Footnote Text Char"/>
    <w:link w:val="22"/>
    <w:qFormat/>
    <w:uiPriority w:val="99"/>
    <w:rPr>
      <w:sz w:val="18"/>
    </w:rPr>
  </w:style>
  <w:style w:type="character" w:customStyle="1" w:styleId="189">
    <w:name w:val="Endnote Text Char"/>
    <w:link w:val="16"/>
    <w:qFormat/>
    <w:uiPriority w:val="99"/>
    <w:rPr>
      <w:sz w:val="20"/>
    </w:rPr>
  </w:style>
  <w:style w:type="paragraph" w:customStyle="1" w:styleId="190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91">
    <w:name w:val="默认段落字体1"/>
    <w:link w:val="1"/>
    <w:semiHidden/>
    <w:qFormat/>
    <w:uiPriority w:val="0"/>
  </w:style>
  <w:style w:type="table" w:customStyle="1" w:styleId="192">
    <w:name w:val="普通表格1"/>
    <w:semiHidden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193">
    <w:name w:val="批注文字1"/>
    <w:basedOn w:val="1"/>
    <w:qFormat/>
    <w:uiPriority w:val="0"/>
    <w:pPr>
      <w:jc w:val="left"/>
    </w:pPr>
  </w:style>
  <w:style w:type="paragraph" w:customStyle="1" w:styleId="194">
    <w:name w:val="正文文本1"/>
    <w:basedOn w:val="1"/>
    <w:link w:val="195"/>
    <w:qFormat/>
    <w:uiPriority w:val="0"/>
    <w:pPr>
      <w:spacing w:before="31"/>
      <w:ind w:left="109"/>
      <w:jc w:val="left"/>
    </w:pPr>
    <w:rPr>
      <w:rFonts w:ascii="宋体" w:hAnsi="宋体"/>
      <w:sz w:val="32"/>
      <w:szCs w:val="32"/>
      <w:lang w:eastAsia="en-US"/>
    </w:rPr>
  </w:style>
  <w:style w:type="character" w:customStyle="1" w:styleId="195">
    <w:name w:val="正文文本 字符"/>
    <w:link w:val="194"/>
    <w:qFormat/>
    <w:uiPriority w:val="0"/>
    <w:rPr>
      <w:rFonts w:ascii="宋体" w:hAnsi="宋体"/>
      <w:sz w:val="32"/>
      <w:szCs w:val="32"/>
      <w:lang w:eastAsia="en-US"/>
    </w:rPr>
  </w:style>
  <w:style w:type="paragraph" w:customStyle="1" w:styleId="196">
    <w:name w:val="日期1"/>
    <w:basedOn w:val="1"/>
    <w:next w:val="1"/>
    <w:qFormat/>
    <w:uiPriority w:val="0"/>
    <w:pPr>
      <w:ind w:left="100"/>
    </w:pPr>
  </w:style>
  <w:style w:type="paragraph" w:customStyle="1" w:styleId="197">
    <w:name w:val="批注框文本1"/>
    <w:basedOn w:val="1"/>
    <w:semiHidden/>
    <w:qFormat/>
    <w:uiPriority w:val="0"/>
    <w:rPr>
      <w:sz w:val="18"/>
      <w:szCs w:val="18"/>
    </w:rPr>
  </w:style>
  <w:style w:type="paragraph" w:customStyle="1" w:styleId="198">
    <w:name w:val="页脚1"/>
    <w:basedOn w:val="1"/>
    <w:link w:val="199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199">
    <w:name w:val="页脚 字符"/>
    <w:link w:val="198"/>
    <w:qFormat/>
    <w:uiPriority w:val="0"/>
    <w:rPr>
      <w:sz w:val="18"/>
      <w:szCs w:val="18"/>
    </w:rPr>
  </w:style>
  <w:style w:type="paragraph" w:customStyle="1" w:styleId="200">
    <w:name w:val="页眉1"/>
    <w:basedOn w:val="1"/>
    <w:link w:val="20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201">
    <w:name w:val="页眉 字符"/>
    <w:link w:val="200"/>
    <w:qFormat/>
    <w:uiPriority w:val="0"/>
    <w:rPr>
      <w:sz w:val="18"/>
      <w:szCs w:val="18"/>
    </w:rPr>
  </w:style>
  <w:style w:type="table" w:customStyle="1" w:styleId="202">
    <w:name w:val="网格型1"/>
    <w:basedOn w:val="192"/>
    <w:qFormat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customStyle="1" w:styleId="203">
    <w:name w:val="已访问的超链接1"/>
    <w:link w:val="1"/>
    <w:qFormat/>
    <w:uiPriority w:val="0"/>
    <w:rPr>
      <w:color w:val="954F72"/>
      <w:u w:val="single"/>
    </w:rPr>
  </w:style>
  <w:style w:type="character" w:customStyle="1" w:styleId="204">
    <w:name w:val="超链接1"/>
    <w:link w:val="1"/>
    <w:qFormat/>
    <w:uiPriority w:val="0"/>
    <w:rPr>
      <w:color w:val="0000FF"/>
      <w:u w:val="single"/>
    </w:rPr>
  </w:style>
  <w:style w:type="character" w:customStyle="1" w:styleId="205">
    <w:name w:val="未处理的提及"/>
    <w:link w:val="1"/>
    <w:qFormat/>
    <w:uiPriority w:val="0"/>
    <w:rPr>
      <w:color w:val="605E5C"/>
      <w:shd w:val="clear" w:color="auto" w:fill="E1DFDD"/>
    </w:rPr>
  </w:style>
  <w:style w:type="character" w:customStyle="1" w:styleId="206">
    <w:name w:val="页脚 Char"/>
    <w:link w:val="1"/>
    <w:qFormat/>
    <w:uiPriority w:val="0"/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8f7a07c8-91c6-41fb-9bbd-6b5ab5ea2761</errorID>
      <errorWord>。</errorWord>
      <group>L1_Punc</group>
      <groupName>标点问题</groupName>
      <ability>L2_Punc_CN</ability>
      <abilityName>标点符号问题</abilityName>
      <candidateList>
        <item/>
      </candidateList>
      <explain/>
      <paraID>157FA883</paraID>
      <start>97</start>
      <end>98</end>
      <status>unmodified</status>
      <modifiedWord/>
      <trackRevisions>false</trackRevisions>
    </reviewItem>
    <reviewItem>
      <errorID>54ff0ed7-c68f-4c0f-8d79-a2553946ece2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1F1E905C</paraID>
      <start>112</start>
      <end>114</end>
      <status>unmodified</status>
      <modifiedWord/>
      <trackRevisions>false</trackRevisions>
    </reviewItem>
    <reviewItem>
      <errorID>f1061688-a80f-47ab-aadd-d60e520b55ea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1F1E905C</paraID>
      <start>126</start>
      <end>128</end>
      <status>unmodified</status>
      <modifiedWord/>
      <trackRevisions>false</trackRevisions>
    </reviewItem>
    <reviewItem>
      <errorID>eeb3c0f4-b504-4b4d-bcbc-f2cdc9a90cc0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2EB53209</paraID>
      <start>55</start>
      <end>56</end>
      <status>unmodified</status>
      <modifiedWord/>
      <trackRevisions>false</trackRevisions>
    </reviewItem>
    <reviewItem>
      <errorID>bdd42eb7-7742-468b-824a-27f95caa636f</errorID>
      <errorWord>获</errorWord>
      <group>L1_Word</group>
      <groupName>字词问题</groupName>
      <ability>L2_Typo</ability>
      <abilityName>字词错误</abilityName>
      <candidateList>
        <item>获得</item>
      </candidateList>
      <explain>〈动〉取得；得到（多用于抽象事物）：～好评｜～宝贵的经验｜～显著的成绩。</explain>
      <paraID> 40E3DE6</paraID>
      <start>40</start>
      <end>41</end>
      <status>unmodified</status>
      <modifiedWord/>
      <trackRevisions>false</trackRevisions>
    </reviewItem>
    <reviewItem>
      <errorID>a35eb75e-a5f7-49fe-bd0e-e6edf29e5fb5</errorID>
      <errorWord>--</errorWord>
      <group>L1_Punc</group>
      <groupName>标点问题</groupName>
      <ability>L2_Punc_CN</ability>
      <abilityName>标点符号问题</abilityName>
      <candidateList>
        <item>——</item>
      </candidateList>
      <explain>破折号或连接号疑似使用错误。</explain>
      <paraID>3B4C075D</paraID>
      <start>33</start>
      <end>35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df59201-7d1d-4e3d-b6ed-beb240aafc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2631</Words>
  <Characters>2760</Characters>
  <TotalTime>67</TotalTime>
  <ScaleCrop>false</ScaleCrop>
  <LinksUpToDate>false</LinksUpToDate>
  <CharactersWithSpaces>2764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2025-01-22T16:03:00Z</dcterms:created>
  <dc:creator>谢谢谢老师</dc:creator>
  <cp:lastModifiedBy>ophelia璐</cp:lastModifiedBy>
  <dcterms:modified xsi:type="dcterms:W3CDTF">2026-07-14T01:33:04Z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eyJoZGlkIjoiMDVkZjU4ZTBmZDIxYTYxOGJjNDFhY2FhNzQ4ZWYxNjEiLCJ1c2VySWQiOiI0OTI4MTg4NTgifQ==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4101985761EA4197A291DE72A6D6E8FC_13</vt:lpwstr>
  </property>
</Properties>
</file>