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2026年第九届华南师范大学研究生数学建模竞赛A题</w:t>
      </w:r>
    </w:p>
    <w:p w14:paraId="46ED31F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29271948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演唱会经济现象的数学建模与分析</w:t>
      </w:r>
    </w:p>
    <w:p w14:paraId="4B7F3674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本题目基于一段关于演唱会经济金融现象的视频评述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（双击文后图标可观看）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。视频中提到的某些现象与论断可能真实可靠，也可能存在偏差或错误。请完成以下数学建模任务：</w:t>
      </w:r>
    </w:p>
    <w:p w14:paraId="5C2296C1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验证真伪：结合实际数据或现实情况，运用统计分析或数学模型，验证视频中评述的某一或某些现象的真假或正确性。所需数据请自行查找，无需涵盖视频中的所有内容。</w:t>
      </w:r>
    </w:p>
    <w:p w14:paraId="5775826A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2、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优化模型：从演唱会举办方的角度建立数学模型，使自身利润最大化，或使某种合理指标（如社会效益、观众满意度等）最大化。</w:t>
      </w:r>
    </w:p>
    <w:p w14:paraId="0EA1A912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3、深度探究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：请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结合前面两问进一步探究视频内容真伪和利润最大化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之间的逻辑关联。</w:t>
      </w:r>
    </w:p>
    <w:p w14:paraId="1898CF34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最终提交一份完整的数学建模报告，需包含问题重述、模型假设、变量定义、模型建立与求解、结果分析及模型评价</w:t>
      </w:r>
    </w:p>
    <w:p w14:paraId="307C163F">
      <w:pPr>
        <w:rPr>
          <w:sz w:val="28"/>
          <w:szCs w:val="28"/>
        </w:rPr>
      </w:pPr>
      <w:r>
        <w:rPr>
          <w:b/>
          <w:sz w:val="28"/>
          <w:szCs w:val="28"/>
        </w:rPr>
        <w:t>题目：基于微观理赔数据的医保基金精细化管理与异常行为预警模型</w:t>
      </w:r>
    </w:p>
    <w:p w14:paraId="34A752FC">
      <w:pPr>
        <w:pStyle w:val="2"/>
        <w:rPr>
          <w:sz w:val="28"/>
          <w:szCs w:val="28"/>
        </w:rPr>
      </w:pPr>
      <w:r>
        <w:rPr>
          <w:sz w:val="28"/>
          <w:szCs w:val="28"/>
        </w:rPr>
        <w:t>一、 题目背景</w:t>
      </w:r>
    </w:p>
    <w:p w14:paraId="543EE26F">
      <w:pPr>
        <w:ind w:firstLine="420" w:firstLineChars="200"/>
      </w:pPr>
      <w:r>
        <w:t>随着人口老龄化的加剧和医疗技术的不断进步，国家医疗保障基金的支出压力日益增大。传统的粗放式医保管理往往只能进行宏观的“总额控制”，难以精准识别不同患者群体的真实医疗需求，也难以有效遏制“过度医疗”或“骗保”等违规行为。</w:t>
      </w:r>
    </w:p>
    <w:p w14:paraId="6BC0AD1C">
      <w:pPr>
        <w:ind w:firstLine="420" w:firstLineChars="200"/>
      </w:pPr>
      <w:r>
        <w:t>近年来，基于大数据的按疾病诊断相关分组（DRG）和按病种分值付费（DIP）正在全面推行。为了制定更加科学的精细化控费政策，医保管理部门需要深入剖析微观层面患者的就诊轨迹、费用分布规律以及影响医疗资源消耗的核心因素。</w:t>
      </w:r>
    </w:p>
    <w:p w14:paraId="36A70DA3">
      <w:pPr>
        <w:pStyle w:val="2"/>
        <w:rPr>
          <w:sz w:val="28"/>
          <w:szCs w:val="28"/>
        </w:rPr>
      </w:pPr>
      <w:r>
        <w:rPr>
          <w:sz w:val="28"/>
          <w:szCs w:val="28"/>
        </w:rPr>
        <w:t>二、 数据说明</w:t>
      </w:r>
    </w:p>
    <w:p w14:paraId="05497DC5">
      <w:pPr>
        <w:ind w:firstLine="420" w:firstLineChars="200"/>
      </w:pPr>
      <w:r>
        <w:t>管理部门提供了一份包含 53,000 条真实住院理赔记录的脱敏数据集medical_insurance_modeling_data.csv。数据包含以下核心字段：</w:t>
      </w:r>
    </w:p>
    <w:p w14:paraId="55172C68">
      <w:r>
        <w:rPr>
          <w:b/>
        </w:rPr>
        <w:t>基础特征</w:t>
      </w:r>
      <w:r>
        <w:t>：case_id（流水号）、gender（性别）、age（年龄）、province（所在省份）。</w:t>
      </w:r>
    </w:p>
    <w:p w14:paraId="4C850E85">
      <w:r>
        <w:rPr>
          <w:b/>
        </w:rPr>
        <w:t>临床特征</w:t>
      </w:r>
      <w:r>
        <w:t>：admission_date（入院日期）、discharge_date（出院日期）、length_of_stay（实际住院天数）、admission_type（就诊类型：疾病/意外/其它）、diagnosis（核心诊断名）、is_accident（是否包含意外伤害）。</w:t>
      </w:r>
    </w:p>
    <w:p w14:paraId="4766389A">
      <w:r>
        <w:rPr>
          <w:b/>
        </w:rPr>
        <w:t>经济特征</w:t>
      </w:r>
      <w:r>
        <w:t>：total_cost（医疗总费用）、reimbursement_rate（医保报销比例）。</w:t>
      </w:r>
    </w:p>
    <w:p w14:paraId="24FBFEA4">
      <w:pPr>
        <w:pStyle w:val="2"/>
        <w:rPr>
          <w:sz w:val="28"/>
          <w:szCs w:val="28"/>
        </w:rPr>
      </w:pPr>
      <w:r>
        <w:rPr>
          <w:sz w:val="28"/>
          <w:szCs w:val="28"/>
        </w:rPr>
        <w:t>三、 建模任务</w:t>
      </w:r>
    </w:p>
    <w:p w14:paraId="367FAE0A">
      <w:pPr>
        <w:pStyle w:val="3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任务 1：医疗费用的异质性分布特征与稳健估计</w:t>
      </w:r>
    </w:p>
    <w:p w14:paraId="307F2314">
      <w:pPr>
        <w:ind w:firstLine="420" w:firstLineChars="200"/>
      </w:pPr>
      <w:r>
        <w:t>现实中的医疗费用往往不服从标准的正态分布，而是呈现显著的“长尾”或“重尾”特征。</w:t>
      </w:r>
    </w:p>
    <w:p w14:paraId="464B24DF">
      <w:r>
        <w:t>请对各主要病种的total_cost进行概率密度分布的非参数估计。</w:t>
      </w:r>
    </w:p>
    <w:p w14:paraId="73AE887A">
      <w:pPr>
        <w:ind w:firstLine="420" w:firstLineChars="200"/>
      </w:pPr>
      <w:r>
        <w:t>建立统计模型，分析年龄、病种、地区等因素对医疗费用的影响。要求：考虑到费用数据的极度右偏性，请写出您所选用的广义线性模型（GLM）或分位数回归（Quantile Regression）的数学表达形式（包括链接函数或损失函数），并比较其与传统 OLS 回归的拟合优度。</w:t>
      </w:r>
    </w:p>
    <w:p w14:paraId="549B6A2B">
      <w:pPr>
        <w:pStyle w:val="3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任务 2：复杂病因下的因果效应剥离（Causal Inference）</w:t>
      </w:r>
    </w:p>
    <w:p w14:paraId="3AE06AD9">
      <w:pPr>
        <w:ind w:firstLine="420" w:firstLineChars="200"/>
      </w:pPr>
      <w:r>
        <w:t>管理部门试图量化“意外伤害（is_accident = yes）”对医疗系统造成的额外经济负担。然而，发生意外的患者与普通疾病患者在年龄结构、就诊类型上存在系统性差异（即存在混杂偏倚）。请定义意外伤害对医疗总费用的平均处理效应（Average Treatment Effect, ATE）。</w:t>
      </w:r>
    </w:p>
    <w:p w14:paraId="2A4E88E3">
      <w:pPr>
        <w:ind w:firstLine="420" w:firstLineChars="200"/>
      </w:pPr>
      <w:r>
        <w:t>构建倾向得分匹配（PSM）模型或逆概率加权（IPW）模型，控制由于年龄、性别、地区等变量引起的混杂，精准剥离出“意外伤害”导致的纯粹净增加费用，并给出该效应的 95% 置信区间。</w:t>
      </w:r>
    </w:p>
    <w:p w14:paraId="48AAFA2C">
      <w:pPr>
        <w:pStyle w:val="3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任务 3：异质性患者住院周期的动力学评估（Survival Analysis）</w:t>
      </w:r>
    </w:p>
    <w:p w14:paraId="387F71B4">
      <w:pPr>
        <w:ind w:firstLine="420" w:firstLineChars="200"/>
      </w:pPr>
      <w:r>
        <w:t xml:space="preserve">缩短无效的住院天数（length_of_stay）是提升床位周转率的关键。我们将“出院”视为事件发生，住院天数视为“生存时间”。建立生存分析模型（如 Cox 比例风险模型或加速失效时间模型 AFT）。其风险函数设定为 </w:t>
      </w:r>
      <m:oMath>
        <m:r>
          <m:rPr/>
          <w:rPr>
            <w:rFonts w:hint="default" w:ascii="Cambria Math"/>
          </w:rPr>
          <m:t>h(t|X)=</m:t>
        </m:r>
        <m:sSub>
          <m:sSubPr>
            <m:ctrlPr>
              <w:rPr>
                <w:rFonts w:hint="default" w:ascii="Cambria Math"/>
              </w:rPr>
            </m:ctrlPr>
          </m:sSubPr>
          <m:e>
            <m:r>
              <m:rPr/>
              <w:rPr>
                <w:rFonts w:hint="default" w:ascii="Cambria Math"/>
              </w:rPr>
              <m:t>h</m:t>
            </m:r>
            <m:ctrlPr>
              <w:rPr>
                <w:rFonts w:hint="default" w:ascii="Cambria Math"/>
              </w:rPr>
            </m:ctrlPr>
          </m:e>
          <m:sub>
            <m:r>
              <m:rPr/>
              <w:rPr>
                <w:rFonts w:hint="default" w:ascii="Cambria Math"/>
              </w:rPr>
              <m:t>0</m:t>
            </m:r>
            <m:ctrlPr>
              <w:rPr>
                <w:rFonts w:hint="default" w:ascii="Cambria Math"/>
              </w:rPr>
            </m:ctrlPr>
          </m:sub>
        </m:sSub>
        <m:r>
          <m:rPr/>
          <w:rPr>
            <w:rFonts w:hint="default" w:ascii="Cambria Math"/>
          </w:rPr>
          <m:t>(t)exp(</m:t>
        </m:r>
        <m:sSup>
          <m:sSupPr>
            <m:ctrlPr>
              <w:rPr>
                <w:rFonts w:hint="default" w:ascii="Cambria Math"/>
              </w:rPr>
            </m:ctrlPr>
          </m:sSupPr>
          <m:e>
            <m:r>
              <m:rPr/>
              <w:rPr>
                <w:rFonts w:hint="default" w:ascii="Cambria Math"/>
              </w:rPr>
              <m:t>β</m:t>
            </m:r>
            <m:ctrlPr>
              <w:rPr>
                <w:rFonts w:hint="default" w:ascii="Cambria Math"/>
              </w:rPr>
            </m:ctrlPr>
          </m:e>
          <m:sup>
            <m:r>
              <m:rPr/>
              <w:rPr>
                <w:rFonts w:hint="default" w:ascii="Cambria Math"/>
              </w:rPr>
              <m:t>T</m:t>
            </m:r>
            <m:ctrlPr>
              <w:rPr>
                <w:rFonts w:hint="default" w:ascii="Cambria Math"/>
              </w:rPr>
            </m:ctrlPr>
          </m:sup>
        </m:sSup>
        <m:r>
          <m:rPr/>
          <w:rPr>
            <w:rFonts w:hint="default" w:ascii="Cambria Math"/>
          </w:rPr>
          <m:t>X)</m:t>
        </m:r>
      </m:oMath>
      <w:r>
        <w:t>。</w:t>
      </w:r>
    </w:p>
    <w:p w14:paraId="07F3EC7F">
      <w:pPr>
        <w:ind w:firstLine="420" w:firstLineChars="200"/>
      </w:pPr>
      <w:r>
        <w:t>探究在控制了病种和地区后，患者年龄与康复出院速度之间的非线性关系。要求准确识别出哪些病种存在显著的“U型”住院周期特征（即低龄儿童与高龄老人住院时间显著偏长），并计算具体的风险比（Hazard Ratio）。</w:t>
      </w:r>
    </w:p>
    <w:p w14:paraId="2D308DC8">
      <w:pPr>
        <w:pStyle w:val="3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任务 4：无监督视角下的过度医疗与异常理赔识别</w:t>
      </w:r>
    </w:p>
    <w:p w14:paraId="330E2D63">
      <w:pPr>
        <w:ind w:firstLine="420" w:firstLineChars="200"/>
      </w:pPr>
      <w:r>
        <w:t>医保数据中潜藏着极少数的“异常高费”记录，这可能是由于病情极其严重，也可能是由于医院过度诊疗或蓄意骗保。由于缺乏“是否欺诈”的真实标签，这是一个典型的无监督异常检测问题。</w:t>
      </w:r>
    </w:p>
    <w:p w14:paraId="356AD4A7">
      <w:pPr>
        <w:ind w:firstLine="420" w:firstLineChars="200"/>
      </w:pPr>
      <w:r>
        <w:t xml:space="preserve">请结合任务1、2、3中提取的患者特征、预估住院时间与预估费用，构建一个多维特征空间。建立异常值识别算法（如孤立森林 Isolation Forest、DBSCAN 或基于自编码器的异常检测），为每条记录输出一个“异常风险得分 </w:t>
      </w:r>
      <m:oMath>
        <m:sSub>
          <m:sSubPr>
            <m:ctrlPr>
              <w:rPr>
                <w:rFonts w:hint="default" w:ascii="Cambria Math"/>
              </w:rPr>
            </m:ctrlPr>
          </m:sSubPr>
          <m:e>
            <m:r>
              <m:rPr/>
              <w:rPr>
                <w:rFonts w:hint="default" w:ascii="Cambria Math"/>
              </w:rPr>
              <m:t>S</m:t>
            </m:r>
            <m:ctrlPr>
              <w:rPr>
                <w:rFonts w:hint="default" w:ascii="Cambria Math"/>
              </w:rPr>
            </m:ctrlPr>
          </m:e>
          <m:sub>
            <m:r>
              <m:rPr/>
              <w:rPr>
                <w:rFonts w:hint="default" w:ascii="Cambria Math"/>
              </w:rPr>
              <m:t>i</m:t>
            </m:r>
            <m:ctrlPr>
              <w:rPr>
                <w:rFonts w:hint="default" w:ascii="Cambria Math"/>
              </w:rPr>
            </m:ctrlPr>
          </m:sub>
        </m:sSub>
      </m:oMath>
      <w:r>
        <w:t>”。筛查出风险得分最高的前 1% 样本，并提取这些高风险样本在年龄、病种或地区上的共同特征画像。</w:t>
      </w:r>
    </w:p>
    <w:p w14:paraId="045FF391">
      <w:pPr>
        <w:pStyle w:val="3"/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44"/>
          <w:sz w:val="28"/>
          <w:szCs w:val="28"/>
          <w:lang w:val="en-US" w:eastAsia="zh-CN" w:bidi="ar"/>
        </w:rPr>
        <w:t>任务 5：医保控费的动态优化政策建议</w:t>
      </w:r>
    </w:p>
    <w:p w14:paraId="45CBC2D9">
      <w:pPr>
        <w:ind w:firstLine="420" w:firstLineChars="200"/>
      </w:pPr>
      <w:r>
        <w:t>基于上述任务的数学模型与量化结论，请为医保局撰写一份限字 800 字的政策建议。要求：不要泛泛而谈，必须直接引用模型跑出的关键参数（如某特定年龄段某疾病的弹性系数、特定省份的区域固定效应差值等），提出针对性的差异化报销比例调整或 DRG 定价优化策略。</w:t>
      </w:r>
    </w:p>
    <w:p w14:paraId="290CEFF1"/>
    <w:p w14:paraId="037EF396">
      <w:pPr>
        <w:ind w:firstLine="560" w:firstLineChars="200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bookmarkStart w:id="0" w:name="_GoBack"/>
      <w:bookmarkEnd w:id="0"/>
    </w:p>
    <w:p w14:paraId="009AEECB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1C96E9E8">
      <w:pP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167FF"/>
    <w:rsid w:val="392D1CC3"/>
    <w:rsid w:val="39371501"/>
    <w:rsid w:val="43333E6F"/>
    <w:rsid w:val="6E6702D9"/>
    <w:rsid w:val="71233EF6"/>
    <w:rsid w:val="79F0772D"/>
    <w:rsid w:val="7AE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714</Words>
  <Characters>734</Characters>
  <Lines>0</Lines>
  <Paragraphs>0</Paragraphs>
  <TotalTime>0</TotalTime>
  <ScaleCrop>false</ScaleCrop>
  <LinksUpToDate>false</LinksUpToDate>
  <CharactersWithSpaces>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2025-06-29T08:55:00Z</dcterms:created>
  <dc:creator>zeng</dc:creator>
  <cp:lastModifiedBy>邓键</cp:lastModifiedBy>
  <dcterms:modified xsi:type="dcterms:W3CDTF">2026-07-15T13:41:26Z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eyJoZGlkIjoiN2NiYWRkM2MxY2Y2N2Y0NTUzYmUxZmZhMzM0Y2I0ZWIiLCJ1c2VySWQiOiI1MzM2MjEwMzAifQ==</vt:lpwstr>
  </property>
  <property fmtid="{D5CDD505-2E9C-101B-9397-08002B2CF9AE}" pid="4" name="ICV">
    <vt:lpwstr>AB26392CFF944C17B6006CB4740A9AC8_13</vt:lpwstr>
  </property>
</Properties>
</file>