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A9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2026年第九届华南师范大学研究生数学建模竞赛C题</w:t>
      </w:r>
    </w:p>
    <w:p w14:paraId="46ED31FD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44" w:afterAutospacing="0" w:line="432" w:lineRule="atLeast"/>
        <w:ind w:left="0" w:right="0" w:firstLine="0"/>
        <w:jc w:val="center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</w:p>
    <w:p w14:paraId="71A574A7">
      <w:pPr>
        <w:jc w:val="center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bookmarkStart w:id="0" w:name="heading_0"/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基于不规则域 Darcy 流的多物理场算子</w:t>
      </w:r>
    </w:p>
    <w:p w14:paraId="30436A5C">
      <w:pPr>
        <w:jc w:val="center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学习与泛化建模</w:t>
      </w:r>
      <w:bookmarkEnd w:id="0"/>
    </w:p>
    <w:p w14:paraId="171B2680">
      <w:pPr>
        <w:jc w:val="center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</w:p>
    <w:p w14:paraId="1C290A86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44" w:afterAutospacing="0" w:line="432" w:lineRule="atLeast"/>
        <w:ind w:left="0" w:right="0" w:firstLine="0"/>
        <w:jc w:val="left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一、题目背景</w:t>
      </w:r>
    </w:p>
    <w:p w14:paraId="017CC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地下水资源管理、油气藏开发及污染物运移评估中，Darcy 流方程是描述流体在多孔介质中运动的核心控制方程。实际工程区域常呈现不规则几何形状（如 L 形、含障碍物区域），且介质参数（渗透率场 k(x)）与外源项（源汇项 f(x)）通常具有高度非均匀性与多尺度特征。传统数值方法（如有限元法 FEM）虽然精度高，但面对参数化大规模反演或实时预测时，计算成本难以承受。</w:t>
      </w:r>
    </w:p>
    <w:p w14:paraId="33CC2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近年来，算子学习（Operator Learning）方法（如 DeepONet、FNO 等）为构建从参数场到解场的“端到端”映射提供了新思路，能够实现近乎实时的预测。然而，真实工程数据往往面临两大痛点：输入场通常定义于结构化网格（如遥感影像、CT 扫描），而输出解场定义于适应几何边界的非结构化网格（有限元节点），两者的数据形态差异给模型设计带来了挑战。</w:t>
      </w:r>
    </w:p>
    <w:p w14:paraId="2104B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本赛题基于一个标准 L 形域上的二维 Darcy 渗流问题，提供多组由有限元求解器生成的“渗透率场 + 源项场”与对应“水头压力场”数据。参赛团队需构建模型，实现从结构化网格输入到非结构化网格输出的精准映射，并深入探究模型在物理一致性与极端工况下的泛化能力。</w:t>
      </w:r>
    </w:p>
    <w:p w14:paraId="2D5F5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 xml:space="preserve">考虑 L 形域 </w:t>
      </w:r>
      <m:oMath>
        <m:r>
          <m:rPr>
            <m:sty m:val="p"/>
          </m:rPr>
          <w:rPr>
            <w:rFonts w:hint="default" w:ascii="Cambria Math" w:hAnsi="Cambria Math" w:eastAsia="仿宋" w:cs="仿宋"/>
            <w:kern w:val="2"/>
            <w:sz w:val="28"/>
            <w:szCs w:val="28"/>
            <w:lang w:val="en-US" w:eastAsia="zh-CN"/>
          </w:rPr>
          <m:t>Ω=</m:t>
        </m:r>
        <m:sSup>
          <m:sSupP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(0,1)</m:t>
            </m: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e>
          <m:sup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2</m:t>
            </m: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="仿宋" w:cs="仿宋"/>
            <w:kern w:val="2"/>
            <w:sz w:val="28"/>
            <w:szCs w:val="28"/>
            <w:lang w:val="en-US" w:eastAsia="zh-CN"/>
          </w:rPr>
          <m:t>\</m:t>
        </m:r>
        <m:sSup>
          <m:sSupP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[0.5,1)</m:t>
            </m: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e>
          <m:sup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2</m:t>
            </m: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sup>
        </m:sSup>
      </m:oMath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上的 Darcy 流方程：</w:t>
      </w:r>
    </w:p>
    <w:p w14:paraId="0C340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hint="eastAsia" w:ascii="Cambria Math" w:hAnsi="Cambria Math" w:eastAsia="仿宋" w:cs="仿宋"/>
              <w:kern w:val="2"/>
              <w:sz w:val="28"/>
              <w:szCs w:val="28"/>
              <w:lang w:val="en-US" w:eastAsia="zh-CN"/>
            </w:rPr>
            <m:t>∇⋅(k(x)∇u(x))+f(x)=0,x∈Ω,</m:t>
          </m:r>
        </m:oMath>
      </m:oMathPara>
    </w:p>
    <w:p w14:paraId="73D4F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hint="eastAsia" w:ascii="Cambria Math" w:hAnsi="Cambria Math" w:eastAsia="仿宋" w:cs="仿宋"/>
              <w:kern w:val="2"/>
              <w:sz w:val="28"/>
              <w:szCs w:val="28"/>
              <w:lang w:val="en-US" w:eastAsia="zh-CN"/>
            </w:rPr>
            <m:t>u(x)=0,x∈∂Ω,</m:t>
          </m:r>
        </m:oMath>
      </m:oMathPara>
    </w:p>
    <w:p w14:paraId="60F7C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560" w:firstLineChars="200"/>
        <w:jc w:val="both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本赛题的核心在于构造一个算子</w:t>
      </w:r>
      <m:oMath>
        <m:r>
          <m:rPr>
            <m:sty m:val="p"/>
            <m:scr m:val="script"/>
          </m:rPr>
          <w:rPr>
            <w:rFonts w:hint="default" w:ascii="Cambria Math" w:hAnsi="Cambria Math" w:eastAsia="MS Mincho" w:cs="MS Mincho"/>
            <w:kern w:val="2"/>
            <w:sz w:val="28"/>
            <w:szCs w:val="28"/>
            <w:lang w:val="en-US" w:eastAsia="zh-CN"/>
          </w:rPr>
          <m:t>T</m:t>
        </m:r>
        <m:r>
          <m:rPr>
            <m:sty m:val="p"/>
          </m:rPr>
          <w:rPr>
            <w:rFonts w:hint="default" w:ascii="Cambria Math" w:hAnsi="Cambria Math" w:eastAsia="仿宋" w:cs="仿宋"/>
            <w:kern w:val="2"/>
            <w:sz w:val="28"/>
            <w:szCs w:val="28"/>
            <w:lang w:val="en-US" w:eastAsia="zh-CN"/>
          </w:rPr>
          <m:t>:[k(x),f(x)]→u(x)</m:t>
        </m:r>
      </m:oMath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模型，依托给定的数值数据集，完成从建模、训练到预测及可视化评估的全流程。</w:t>
      </w:r>
    </w:p>
    <w:p w14:paraId="1B063D29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480" w:beforeAutospacing="0" w:after="144" w:afterAutospacing="0" w:line="384" w:lineRule="atLeast"/>
        <w:ind w:left="0" w:firstLine="0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二、数据</w:t>
      </w: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集</w:t>
      </w: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说明</w:t>
      </w:r>
    </w:p>
    <w:p w14:paraId="74A27274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bookmarkStart w:id="1" w:name="heading_5"/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题目提供两份.mat格式数据集文件：</w:t>
      </w: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linearDarcy</w:t>
      </w:r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_train.mat（训练集）、</w:t>
      </w: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linearDarcy_test</w:t>
      </w:r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.mat（测试集）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，为二维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31*31的L型Darcy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流标准样本数据。</w:t>
      </w:r>
      <w:bookmarkEnd w:id="1"/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训练集数据变量说明如下：</w:t>
      </w:r>
    </w:p>
    <w:tbl>
      <w:tblPr>
        <w:tblStyle w:val="4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58"/>
        <w:gridCol w:w="1660"/>
        <w:gridCol w:w="4562"/>
      </w:tblGrid>
      <w:tr w14:paraId="20707F8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5F4FB5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变量名</w:t>
            </w:r>
          </w:p>
        </w:tc>
        <w:tc>
          <w:tcPr>
            <w:tcW w:w="16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17068A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尺寸</w:t>
            </w:r>
          </w:p>
        </w:tc>
        <w:tc>
          <w:tcPr>
            <w:tcW w:w="45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AC487A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说明</w:t>
            </w:r>
          </w:p>
        </w:tc>
      </w:tr>
      <w:tr w14:paraId="727FEB6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1E5C44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f1_train</w:t>
            </w:r>
          </w:p>
        </w:tc>
        <w:tc>
          <w:tcPr>
            <w:tcW w:w="16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8F2EFE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1000*31*31</w:t>
            </w:r>
          </w:p>
        </w:tc>
        <w:tc>
          <w:tcPr>
            <w:tcW w:w="45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8E8E8D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源项场f(x)</w:t>
            </w:r>
          </w:p>
        </w:tc>
      </w:tr>
      <w:tr w14:paraId="09A52B8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714EF07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f2_train</w:t>
            </w:r>
          </w:p>
        </w:tc>
        <w:tc>
          <w:tcPr>
            <w:tcW w:w="16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E64970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1000*31*31</w:t>
            </w:r>
          </w:p>
        </w:tc>
        <w:tc>
          <w:tcPr>
            <w:tcW w:w="45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63D465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渗透率场k(x)</w:t>
            </w:r>
          </w:p>
        </w:tc>
      </w:tr>
      <w:tr w14:paraId="1DE141B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FC93F7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u_train</w:t>
            </w:r>
          </w:p>
        </w:tc>
        <w:tc>
          <w:tcPr>
            <w:tcW w:w="16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D86BF5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1000*31*31</w:t>
            </w:r>
          </w:p>
        </w:tc>
        <w:tc>
          <w:tcPr>
            <w:tcW w:w="45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17AEC2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解场</w:t>
            </w:r>
          </w:p>
        </w:tc>
      </w:tr>
      <w:tr w14:paraId="7FB88AD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CCA76A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x, y</w:t>
            </w:r>
          </w:p>
        </w:tc>
        <w:tc>
          <w:tcPr>
            <w:tcW w:w="16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FD0734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450*1</w:t>
            </w:r>
          </w:p>
        </w:tc>
        <w:tc>
          <w:tcPr>
            <w:tcW w:w="45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E54BD8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450个内部节点的物理坐标</w:t>
            </w:r>
          </w:p>
        </w:tc>
      </w:tr>
      <w:tr w14:paraId="5FCA1F6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1FA21B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x_inp, y_inp</w:t>
            </w:r>
          </w:p>
        </w:tc>
        <w:tc>
          <w:tcPr>
            <w:tcW w:w="16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8FDDC8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31*31</w:t>
            </w:r>
          </w:p>
        </w:tc>
        <w:tc>
          <w:tcPr>
            <w:tcW w:w="45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E9B94C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输入场所在结构化网格的坐标矩阵</w:t>
            </w:r>
          </w:p>
        </w:tc>
      </w:tr>
    </w:tbl>
    <w:p w14:paraId="7A8F09A7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2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bookmarkStart w:id="2" w:name="heading_6"/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数据预处理建议</w:t>
      </w:r>
      <w:bookmarkEnd w:id="2"/>
    </w:p>
    <w:p w14:paraId="33A2ECC0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2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归一化：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u 的值较小，建议对输出进行标准化（例如除以标准差），并在预测后还原。</w:t>
      </w:r>
    </w:p>
    <w:p w14:paraId="0D6F0CEF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2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掩码处理：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输入场中右上角的零填充区域对 CNN 特征提取可能产生干扰，可设计注意力机制或空间掩码予以处理。</w:t>
      </w:r>
    </w:p>
    <w:p w14:paraId="6BEA474A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480" w:beforeAutospacing="0" w:after="144" w:afterAutospacing="0" w:line="384" w:lineRule="atLeast"/>
        <w:ind w:left="0" w:firstLine="0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三、</w:t>
      </w: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建模任务</w:t>
      </w:r>
    </w:p>
    <w:p w14:paraId="17CC17CA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2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除了提交论文外，还需要提交完整的 jupyter notebook 运行结果脚本。</w:t>
      </w:r>
    </w:p>
    <w:p w14:paraId="2905A64F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设计算子学习模型，准确学习映射关系</w:t>
      </w:r>
      <m:oMath>
        <m:r>
          <m:rPr>
            <m:sty m:val="p"/>
            <m:scr m:val="script"/>
          </m:rPr>
          <w:rPr>
            <w:rFonts w:hint="default" w:ascii="Cambria Math" w:hAnsi="Cambria Math" w:eastAsia="MS Mincho" w:cs="MS Mincho"/>
            <w:kern w:val="2"/>
            <w:sz w:val="28"/>
            <w:szCs w:val="28"/>
            <w:lang w:val="en-US" w:eastAsia="zh-CN"/>
          </w:rPr>
          <m:t>T</m:t>
        </m:r>
        <m:r>
          <m:rPr>
            <m:sty m:val="p"/>
          </m:rPr>
          <w:rPr>
            <w:rFonts w:hint="default" w:ascii="Cambria Math" w:hAnsi="Cambria Math" w:eastAsia="仿宋" w:cs="仿宋"/>
            <w:kern w:val="2"/>
            <w:sz w:val="28"/>
            <w:szCs w:val="28"/>
            <w:lang w:val="en-US" w:eastAsia="zh-CN"/>
          </w:rPr>
          <m:t>:[k(x),f(x)]→u(x)</m:t>
        </m:r>
      </m:oMath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。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具体要求如下：</w:t>
      </w:r>
    </w:p>
    <w:p w14:paraId="74A64EFF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1、在训练集和测试集上均应达到较低的平均相对</w:t>
      </w:r>
      <m:oMath>
        <m:sSub>
          <m:sSubP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L</m:t>
            </m: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2</m:t>
            </m: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sub>
        </m:sSub>
      </m:oMath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误差</w:t>
      </w:r>
      <m:oMath>
        <m:r>
          <m:rPr>
            <m:sty m:val="p"/>
          </m:rPr>
          <w:rPr>
            <w:rFonts w:hint="eastAsia" w:ascii="Cambria Math" w:hAnsi="Cambria Math" w:eastAsia="仿宋" w:cs="仿宋"/>
            <w:kern w:val="2"/>
            <w:sz w:val="28"/>
            <w:szCs w:val="28"/>
            <w:lang w:val="en-US" w:eastAsia="zh-CN"/>
          </w:rPr>
          <m:t>ϵ=</m:t>
        </m:r>
        <m:f>
          <m:fPr>
            <m:ctrlPr>
              <w:rPr>
                <w:rFonts w:hint="eastAsia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1</m:t>
            </m:r>
            <m:ctrlPr>
              <w:rPr>
                <w:rFonts w:hint="eastAsia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N</m:t>
            </m:r>
            <m:ctrlPr>
              <w:rPr>
                <w:rFonts w:hint="eastAsia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den>
        </m:f>
        <m:nary>
          <m:naryPr>
            <m:chr m:val="∑"/>
            <m:grow m:val="1"/>
            <m:limLoc m:val="undOvr"/>
            <m:ctrlPr>
              <w:rPr>
                <w:rFonts w:hint="eastAsia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naryPr>
          <m:sub>
            <m:r>
              <m:rPr>
                <m:sty m:val="p"/>
              </m:rPr>
              <w:rPr>
                <w:rFonts w:hint="eastAsia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i=1</m:t>
            </m:r>
            <m:ctrlPr>
              <w:rPr>
                <w:rFonts w:hint="eastAsia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sub>
          <m:sup>
            <m:r>
              <m:rPr>
                <m:sty m:val="p"/>
              </m:rPr>
              <w:rPr>
                <w:rFonts w:hint="eastAsia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N</m:t>
            </m:r>
            <m:ctrlPr>
              <w:rPr>
                <w:rFonts w:hint="eastAsia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sup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 xml:space="preserve"> </m:t>
            </m:r>
            <m:ctrlPr>
              <w:rPr>
                <w:rFonts w:hint="eastAsia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e>
        </m:nary>
        <m:f>
          <m:fPr>
            <m:ctrlPr>
              <w:rPr>
                <w:rFonts w:hint="eastAsia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∥</m:t>
            </m:r>
            <m:sSubSup>
              <m:sSubSupP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  <m:t>u</m:t>
                </m: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  <m:t>i</m:t>
                </m: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  <m:t>pred</m:t>
                </m: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sup>
            </m:sSubSup>
            <m:r>
              <m:rPr>
                <m:sty m:val="p"/>
              </m:rPr>
              <w:rPr>
                <w:rFonts w:hint="eastAsia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−</m:t>
            </m:r>
            <m:sSubSup>
              <m:sSubSupP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  <m:t>u</m:t>
                </m: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  <m:t>i</m:t>
                </m: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  <m:t>true</m:t>
                </m: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sup>
            </m:sSubSup>
            <m:sSub>
              <m:sSubP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  <m:t>∥</m:t>
                </m: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sub>
            </m:sSub>
            <m:ctrlPr>
              <w:rPr>
                <w:rFonts w:hint="eastAsia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∥</m:t>
            </m:r>
            <m:sSubSup>
              <m:sSubSupP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  <m:t>u</m:t>
                </m: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  <m:t>i</m:t>
                </m: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  <m:t>true</m:t>
                </m: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sup>
            </m:sSubSup>
            <m:sSub>
              <m:sSubP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  <m:t>∥</m:t>
                </m: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仿宋" w:cs="仿宋"/>
                    <w:kern w:val="2"/>
                    <w:sz w:val="28"/>
                    <w:szCs w:val="28"/>
                    <w:lang w:val="en-US" w:eastAsia="zh-CN"/>
                  </w:rPr>
                </m:ctrlPr>
              </m:sub>
            </m:sSub>
            <m:ctrlPr>
              <w:rPr>
                <w:rFonts w:hint="eastAsia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den>
        </m:f>
      </m:oMath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，并需与一种或多种常见基准方法（如 DeepOnet、FNO 或 Transformer 类型的方法）进行对比。</w:t>
      </w:r>
    </w:p>
    <w:p w14:paraId="5AC55DEB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2、在确保解的物理合理性并满足精度要求的前提下，应着重优化模型的计算效率，具体包括缩短训练和推理时间，以及减少内存和显存占用。</w:t>
      </w:r>
    </w:p>
    <w:p w14:paraId="478F3FA4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3、分析模型在 L 域凹角区域、边界区域以及渗透率突变区域的误差空间分布特征。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请通过计算 PDE 残差、边界条件满足度等指标，定量评估模型的物理一致性，并结合物理机理解释误差成因。重点从数学或优化理论的角度（如优化景观、谱偏差、正则性理论等），剖析纯物理驱动模型在L域凹角或高梯度区域失效或难收敛的深层机理。</w:t>
      </w:r>
    </w:p>
    <w:p w14:paraId="153222E4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</w:p>
    <w:p w14:paraId="29A9D909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jc w:val="left"/>
        <w:textAlignment w:val="auto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四</w:t>
      </w: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、</w:t>
      </w: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参考文献</w:t>
      </w:r>
    </w:p>
    <w:p w14:paraId="7DF51D7E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[1]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 xml:space="preserve">Jin, P., Meng, S., Lu, L., 2022. MIONet: Learning multiple-input operators via tensor product. </w:t>
      </w:r>
    </w:p>
    <w:p w14:paraId="03253DD0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[2]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Ingebrand, T., Thorpe, A.J., Goswami, S., Kumar, K., Topcu, U., 2025. Basis-to-basis operator learning using function encoders. Computer Methods in Applied Mechanics and Engineering 435, 117646.</w:t>
      </w:r>
    </w:p>
    <w:p w14:paraId="6E8BF4ED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[3]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 xml:space="preserve">Bahmani, B., Goswami, S., Kevrekidis, I.G., Shields, M.D., 2025. A resolution independent neural operator. Computer Methods in Applied Mechanics and Engineering 444, 118113. </w:t>
      </w:r>
    </w:p>
    <w:p w14:paraId="0FD71EFA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[4]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 xml:space="preserve">Li, Z., Kovachki, N., Azizzadenesheli, K., Liu, B., Bhattacharya, K., Stuart, A., Anandkumar, A., 2021. Fourier Neural Operator for Parametric Partial Differential Equations. </w:t>
      </w:r>
    </w:p>
    <w:p w14:paraId="72A42AE0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[5]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 xml:space="preserve">Lu, L., Jin, P., Karniadakis, G.E., 2020. DeepONet: Learning nonlinear operators for identifying differential equations based on the universal approximation theorem of operators. </w:t>
      </w:r>
      <w:bookmarkStart w:id="3" w:name="_GoBack"/>
      <w:bookmarkEnd w:id="3"/>
    </w:p>
    <w:p w14:paraId="5D7BB133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2" w:firstLineChars="200"/>
        <w:jc w:val="left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/>
        </w:rPr>
      </w:pPr>
    </w:p>
    <w:p w14:paraId="729BE34F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2" w:firstLineChars="200"/>
        <w:jc w:val="left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/>
        </w:rPr>
      </w:pPr>
    </w:p>
    <w:p w14:paraId="290CEFF1"/>
    <w:p w14:paraId="037EF396">
      <w:pPr>
        <w:ind w:firstLine="560" w:firstLineChars="200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</w:p>
    <w:p w14:paraId="009AEECB">
      <w:pP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</w:p>
    <w:p w14:paraId="1C96E9E8">
      <w:pP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4C451B"/>
    <w:rsid w:val="324167FF"/>
    <w:rsid w:val="392D1CC3"/>
    <w:rsid w:val="39371501"/>
    <w:rsid w:val="43333E6F"/>
    <w:rsid w:val="504F7091"/>
    <w:rsid w:val="5B5154DF"/>
    <w:rsid w:val="6E6702D9"/>
    <w:rsid w:val="71233EF6"/>
    <w:rsid w:val="79F0772D"/>
    <w:rsid w:val="7AEB658E"/>
    <w:rsid w:val="7AEE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1432</Words>
  <Characters>1759</Characters>
  <Lines>0</Lines>
  <Paragraphs>0</Paragraphs>
  <TotalTime>1</TotalTime>
  <ScaleCrop>false</ScaleCrop>
  <LinksUpToDate>false</LinksUpToDate>
  <CharactersWithSpaces>1793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2025-06-29T08:55:00Z</dcterms:created>
  <dc:creator>zeng</dc:creator>
  <cp:lastModifiedBy>邓键</cp:lastModifiedBy>
  <dcterms:modified xsi:type="dcterms:W3CDTF">2026-07-15T14:09:26Z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eyJoZGlkIjoiN2NiYWRkM2MxY2Y2N2Y0NTUzYmUxZmZhMzM0Y2I0ZWIiLCJ1c2VySWQiOiI1MzM2MjEwMzAifQ==</vt:lpwstr>
  </property>
  <property fmtid="{D5CDD505-2E9C-101B-9397-08002B2CF9AE}" pid="4" name="ICV">
    <vt:lpwstr>FF2B1AC7F2D8405AA7A77F845C7D4681_13</vt:lpwstr>
  </property>
</Properties>
</file>