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djustRightInd w:val="0"/>
        <w:snapToGrid w:val="0"/>
        <w:spacing w:beforeLines="50" w:afterLines="50" w:line="600" w:lineRule="exact"/>
        <w:jc w:val="center"/>
        <w:rPr>
          <w:rFonts w:hint="eastAsia" w:ascii="黑体" w:hAnsi="黑体" w:eastAsia="黑体"/>
          <w:b/>
          <w:sz w:val="28"/>
          <w:szCs w:val="32"/>
        </w:rPr>
      </w:pPr>
      <w:r>
        <w:rPr>
          <w:rFonts w:hint="eastAsia" w:ascii="黑体" w:hAnsi="黑体" w:eastAsia="黑体"/>
          <w:b/>
          <w:sz w:val="28"/>
          <w:szCs w:val="32"/>
        </w:rPr>
        <w:t>2019年教育硕士专业学位研究生招生对象要求</w:t>
      </w:r>
    </w:p>
    <w:p>
      <w:pPr>
        <w:overflowPunct w:val="0"/>
        <w:adjustRightInd w:val="0"/>
        <w:snapToGrid w:val="0"/>
        <w:spacing w:beforeLines="50" w:afterLines="50" w:line="600" w:lineRule="exact"/>
        <w:jc w:val="left"/>
        <w:rPr>
          <w:rFonts w:ascii="黑体" w:hAnsi="黑体" w:eastAsia="黑体"/>
          <w:b/>
          <w:sz w:val="28"/>
          <w:szCs w:val="32"/>
        </w:rPr>
      </w:pPr>
      <w:r>
        <w:rPr>
          <w:rFonts w:hint="eastAsia" w:ascii="黑体" w:hAnsi="黑体" w:eastAsia="黑体"/>
          <w:b/>
          <w:sz w:val="28"/>
          <w:szCs w:val="32"/>
        </w:rPr>
        <w:t>全日制教育硕士：</w:t>
      </w:r>
    </w:p>
    <w:tbl>
      <w:tblPr>
        <w:tblStyle w:val="3"/>
        <w:tblW w:w="8022" w:type="dxa"/>
        <w:jc w:val="center"/>
        <w:tblInd w:w="0" w:type="dxa"/>
        <w:tblLayout w:type="fixed"/>
        <w:tblCellMar>
          <w:top w:w="0" w:type="dxa"/>
          <w:left w:w="113" w:type="dxa"/>
          <w:bottom w:w="0" w:type="dxa"/>
          <w:right w:w="113" w:type="dxa"/>
        </w:tblCellMar>
      </w:tblPr>
      <w:tblGrid>
        <w:gridCol w:w="1530"/>
        <w:gridCol w:w="2581"/>
        <w:gridCol w:w="3911"/>
      </w:tblGrid>
      <w:tr>
        <w:tblPrEx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67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color w:val="333333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4"/>
                <w:szCs w:val="28"/>
              </w:rPr>
              <w:t>代码</w:t>
            </w:r>
          </w:p>
        </w:tc>
        <w:tc>
          <w:tcPr>
            <w:tcW w:w="2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8"/>
              </w:rPr>
              <w:t>专业名称</w:t>
            </w:r>
          </w:p>
        </w:tc>
        <w:tc>
          <w:tcPr>
            <w:tcW w:w="3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8"/>
              </w:rPr>
              <w:t>招生对象</w:t>
            </w:r>
          </w:p>
        </w:tc>
      </w:tr>
      <w:tr>
        <w:tblPrEx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67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color w:val="333333"/>
                <w:kern w:val="0"/>
                <w:sz w:val="24"/>
                <w:szCs w:val="28"/>
              </w:rPr>
            </w:pPr>
            <w:r>
              <w:rPr>
                <w:rFonts w:ascii="仿宋" w:hAnsi="仿宋" w:eastAsia="仿宋" w:cs="Times New Roman"/>
                <w:color w:val="333333"/>
                <w:kern w:val="0"/>
                <w:sz w:val="24"/>
                <w:szCs w:val="28"/>
              </w:rPr>
              <w:t>045101</w:t>
            </w:r>
          </w:p>
        </w:tc>
        <w:tc>
          <w:tcPr>
            <w:tcW w:w="2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8"/>
              </w:rPr>
              <w:t>教育管理</w:t>
            </w:r>
          </w:p>
        </w:tc>
        <w:tc>
          <w:tcPr>
            <w:tcW w:w="39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不招收跨学科专业的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调剂生，不鼓励跨专业特别是跨学科门类报考。其中，教育管理专业招生对象为“具有国民教育系列大学本科学历；具有3年以上工作经验；具有幼儿园或中小学教育教学工作经历（需提供教师资格证和幼儿园或中小学工作经历证明）”</w:t>
            </w:r>
          </w:p>
        </w:tc>
      </w:tr>
      <w:tr>
        <w:tblPrEx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67" w:hRule="atLeast"/>
          <w:jc w:val="center"/>
        </w:trPr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color w:val="333333"/>
                <w:kern w:val="0"/>
                <w:sz w:val="24"/>
                <w:szCs w:val="28"/>
              </w:rPr>
            </w:pPr>
            <w:r>
              <w:rPr>
                <w:rFonts w:ascii="仿宋" w:hAnsi="仿宋" w:eastAsia="仿宋" w:cs="Times New Roman"/>
                <w:color w:val="333333"/>
                <w:kern w:val="0"/>
                <w:sz w:val="24"/>
                <w:szCs w:val="28"/>
              </w:rPr>
              <w:t>045102</w:t>
            </w:r>
          </w:p>
        </w:tc>
        <w:tc>
          <w:tcPr>
            <w:tcW w:w="2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8"/>
              </w:rPr>
              <w:t>学科教学（思政）</w:t>
            </w:r>
          </w:p>
        </w:tc>
        <w:tc>
          <w:tcPr>
            <w:tcW w:w="39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" w:hAnsi="仿宋" w:eastAsia="仿宋" w:cs="宋体"/>
                <w:color w:val="333333"/>
                <w:kern w:val="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67" w:hRule="atLeast"/>
          <w:jc w:val="center"/>
        </w:trPr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color w:val="333333"/>
                <w:kern w:val="0"/>
                <w:sz w:val="24"/>
                <w:szCs w:val="28"/>
              </w:rPr>
            </w:pPr>
            <w:r>
              <w:rPr>
                <w:rFonts w:ascii="仿宋" w:hAnsi="仿宋" w:eastAsia="仿宋" w:cs="Times New Roman"/>
                <w:color w:val="333333"/>
                <w:kern w:val="0"/>
                <w:sz w:val="24"/>
                <w:szCs w:val="28"/>
              </w:rPr>
              <w:t>045103</w:t>
            </w:r>
          </w:p>
        </w:tc>
        <w:tc>
          <w:tcPr>
            <w:tcW w:w="2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8"/>
              </w:rPr>
              <w:t>学科教学（语文）</w:t>
            </w:r>
          </w:p>
        </w:tc>
        <w:tc>
          <w:tcPr>
            <w:tcW w:w="39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" w:hAnsi="仿宋" w:eastAsia="仿宋" w:cs="宋体"/>
                <w:color w:val="333333"/>
                <w:kern w:val="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67" w:hRule="atLeast"/>
          <w:jc w:val="center"/>
        </w:trPr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color w:val="333333"/>
                <w:kern w:val="0"/>
                <w:sz w:val="24"/>
                <w:szCs w:val="28"/>
              </w:rPr>
            </w:pPr>
            <w:r>
              <w:rPr>
                <w:rFonts w:ascii="仿宋" w:hAnsi="仿宋" w:eastAsia="仿宋" w:cs="Times New Roman"/>
                <w:color w:val="333333"/>
                <w:kern w:val="0"/>
                <w:sz w:val="24"/>
                <w:szCs w:val="28"/>
              </w:rPr>
              <w:t>045104</w:t>
            </w:r>
          </w:p>
        </w:tc>
        <w:tc>
          <w:tcPr>
            <w:tcW w:w="2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8"/>
              </w:rPr>
              <w:t>学科教学（数学）</w:t>
            </w:r>
          </w:p>
        </w:tc>
        <w:tc>
          <w:tcPr>
            <w:tcW w:w="39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" w:hAnsi="仿宋" w:eastAsia="仿宋" w:cs="宋体"/>
                <w:color w:val="333333"/>
                <w:kern w:val="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67" w:hRule="atLeast"/>
          <w:jc w:val="center"/>
        </w:trPr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color w:val="333333"/>
                <w:kern w:val="0"/>
                <w:sz w:val="24"/>
                <w:szCs w:val="28"/>
              </w:rPr>
            </w:pPr>
            <w:r>
              <w:rPr>
                <w:rFonts w:ascii="仿宋" w:hAnsi="仿宋" w:eastAsia="仿宋" w:cs="Times New Roman"/>
                <w:color w:val="333333"/>
                <w:kern w:val="0"/>
                <w:sz w:val="24"/>
                <w:szCs w:val="28"/>
              </w:rPr>
              <w:t>045105</w:t>
            </w:r>
          </w:p>
        </w:tc>
        <w:tc>
          <w:tcPr>
            <w:tcW w:w="2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8"/>
              </w:rPr>
              <w:t>学科教学（物理）</w:t>
            </w:r>
          </w:p>
        </w:tc>
        <w:tc>
          <w:tcPr>
            <w:tcW w:w="39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" w:hAnsi="仿宋" w:eastAsia="仿宋" w:cs="宋体"/>
                <w:color w:val="333333"/>
                <w:kern w:val="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67" w:hRule="atLeast"/>
          <w:jc w:val="center"/>
        </w:trPr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color w:val="333333"/>
                <w:kern w:val="0"/>
                <w:sz w:val="24"/>
                <w:szCs w:val="28"/>
              </w:rPr>
            </w:pPr>
            <w:r>
              <w:rPr>
                <w:rFonts w:ascii="仿宋" w:hAnsi="仿宋" w:eastAsia="仿宋" w:cs="Times New Roman"/>
                <w:color w:val="333333"/>
                <w:kern w:val="0"/>
                <w:sz w:val="24"/>
                <w:szCs w:val="28"/>
              </w:rPr>
              <w:t>045106</w:t>
            </w:r>
          </w:p>
        </w:tc>
        <w:tc>
          <w:tcPr>
            <w:tcW w:w="2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8"/>
              </w:rPr>
              <w:t>学科教学（化学）</w:t>
            </w:r>
          </w:p>
        </w:tc>
        <w:tc>
          <w:tcPr>
            <w:tcW w:w="39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" w:hAnsi="仿宋" w:eastAsia="仿宋" w:cs="宋体"/>
                <w:color w:val="333333"/>
                <w:kern w:val="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67" w:hRule="atLeast"/>
          <w:jc w:val="center"/>
        </w:trPr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color w:val="333333"/>
                <w:kern w:val="0"/>
                <w:sz w:val="24"/>
                <w:szCs w:val="28"/>
              </w:rPr>
            </w:pPr>
            <w:r>
              <w:rPr>
                <w:rFonts w:ascii="仿宋" w:hAnsi="仿宋" w:eastAsia="仿宋" w:cs="Times New Roman"/>
                <w:color w:val="333333"/>
                <w:kern w:val="0"/>
                <w:sz w:val="24"/>
                <w:szCs w:val="28"/>
              </w:rPr>
              <w:t>045107</w:t>
            </w:r>
          </w:p>
        </w:tc>
        <w:tc>
          <w:tcPr>
            <w:tcW w:w="2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8"/>
              </w:rPr>
              <w:t>学科教学（生物）</w:t>
            </w:r>
          </w:p>
        </w:tc>
        <w:tc>
          <w:tcPr>
            <w:tcW w:w="39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" w:hAnsi="仿宋" w:eastAsia="仿宋" w:cs="宋体"/>
                <w:color w:val="333333"/>
                <w:kern w:val="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67" w:hRule="atLeast"/>
          <w:jc w:val="center"/>
        </w:trPr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color w:val="333333"/>
                <w:kern w:val="0"/>
                <w:sz w:val="24"/>
                <w:szCs w:val="28"/>
              </w:rPr>
            </w:pPr>
            <w:r>
              <w:rPr>
                <w:rFonts w:ascii="仿宋" w:hAnsi="仿宋" w:eastAsia="仿宋" w:cs="Times New Roman"/>
                <w:color w:val="333333"/>
                <w:kern w:val="0"/>
                <w:sz w:val="24"/>
                <w:szCs w:val="28"/>
              </w:rPr>
              <w:t>045108</w:t>
            </w:r>
          </w:p>
        </w:tc>
        <w:tc>
          <w:tcPr>
            <w:tcW w:w="2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8"/>
              </w:rPr>
              <w:t>学科教学（英语）</w:t>
            </w:r>
          </w:p>
        </w:tc>
        <w:tc>
          <w:tcPr>
            <w:tcW w:w="39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" w:hAnsi="仿宋" w:eastAsia="仿宋" w:cs="宋体"/>
                <w:color w:val="333333"/>
                <w:kern w:val="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67" w:hRule="atLeast"/>
          <w:jc w:val="center"/>
        </w:trPr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color w:val="333333"/>
                <w:kern w:val="0"/>
                <w:sz w:val="24"/>
                <w:szCs w:val="28"/>
              </w:rPr>
            </w:pPr>
            <w:r>
              <w:rPr>
                <w:rFonts w:ascii="仿宋" w:hAnsi="仿宋" w:eastAsia="仿宋" w:cs="Times New Roman"/>
                <w:color w:val="333333"/>
                <w:kern w:val="0"/>
                <w:sz w:val="24"/>
                <w:szCs w:val="28"/>
              </w:rPr>
              <w:t>045109</w:t>
            </w:r>
          </w:p>
        </w:tc>
        <w:tc>
          <w:tcPr>
            <w:tcW w:w="2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8"/>
              </w:rPr>
              <w:t>学科教学（历史）</w:t>
            </w:r>
          </w:p>
        </w:tc>
        <w:tc>
          <w:tcPr>
            <w:tcW w:w="39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" w:hAnsi="仿宋" w:eastAsia="仿宋" w:cs="宋体"/>
                <w:color w:val="333333"/>
                <w:kern w:val="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67" w:hRule="atLeast"/>
          <w:jc w:val="center"/>
        </w:trPr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color w:val="333333"/>
                <w:kern w:val="0"/>
                <w:sz w:val="24"/>
                <w:szCs w:val="28"/>
              </w:rPr>
            </w:pPr>
            <w:r>
              <w:rPr>
                <w:rFonts w:ascii="仿宋" w:hAnsi="仿宋" w:eastAsia="仿宋" w:cs="Times New Roman"/>
                <w:color w:val="333333"/>
                <w:kern w:val="0"/>
                <w:sz w:val="24"/>
                <w:szCs w:val="28"/>
              </w:rPr>
              <w:t>045110</w:t>
            </w:r>
          </w:p>
        </w:tc>
        <w:tc>
          <w:tcPr>
            <w:tcW w:w="2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8"/>
              </w:rPr>
              <w:t>学科教学（地理）</w:t>
            </w:r>
          </w:p>
        </w:tc>
        <w:tc>
          <w:tcPr>
            <w:tcW w:w="39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" w:hAnsi="仿宋" w:eastAsia="仿宋" w:cs="宋体"/>
                <w:color w:val="333333"/>
                <w:kern w:val="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67" w:hRule="atLeast"/>
          <w:jc w:val="center"/>
        </w:trPr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color w:val="333333"/>
                <w:kern w:val="0"/>
                <w:sz w:val="24"/>
                <w:szCs w:val="28"/>
              </w:rPr>
            </w:pPr>
            <w:r>
              <w:rPr>
                <w:rFonts w:ascii="仿宋" w:hAnsi="仿宋" w:eastAsia="仿宋" w:cs="Times New Roman"/>
                <w:color w:val="333333"/>
                <w:kern w:val="0"/>
                <w:sz w:val="24"/>
                <w:szCs w:val="28"/>
              </w:rPr>
              <w:t>045114</w:t>
            </w:r>
          </w:p>
        </w:tc>
        <w:tc>
          <w:tcPr>
            <w:tcW w:w="2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8"/>
              </w:rPr>
              <w:t>现代教育技术</w:t>
            </w:r>
          </w:p>
        </w:tc>
        <w:tc>
          <w:tcPr>
            <w:tcW w:w="39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" w:hAnsi="仿宋" w:eastAsia="仿宋" w:cs="宋体"/>
                <w:color w:val="333333"/>
                <w:kern w:val="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67" w:hRule="atLeast"/>
          <w:jc w:val="center"/>
        </w:trPr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color w:val="333333"/>
                <w:kern w:val="0"/>
                <w:sz w:val="24"/>
                <w:szCs w:val="28"/>
              </w:rPr>
            </w:pPr>
            <w:r>
              <w:rPr>
                <w:rFonts w:ascii="仿宋" w:hAnsi="仿宋" w:eastAsia="仿宋" w:cs="Times New Roman"/>
                <w:color w:val="333333"/>
                <w:kern w:val="0"/>
                <w:sz w:val="24"/>
                <w:szCs w:val="28"/>
              </w:rPr>
              <w:t>045115</w:t>
            </w:r>
          </w:p>
        </w:tc>
        <w:tc>
          <w:tcPr>
            <w:tcW w:w="2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8"/>
              </w:rPr>
              <w:t>小学教育</w:t>
            </w:r>
          </w:p>
        </w:tc>
        <w:tc>
          <w:tcPr>
            <w:tcW w:w="39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" w:hAnsi="仿宋" w:eastAsia="仿宋" w:cs="宋体"/>
                <w:color w:val="333333"/>
                <w:kern w:val="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67" w:hRule="atLeast"/>
          <w:jc w:val="center"/>
        </w:trPr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color w:val="333333"/>
                <w:kern w:val="0"/>
                <w:sz w:val="24"/>
                <w:szCs w:val="28"/>
              </w:rPr>
            </w:pPr>
            <w:r>
              <w:rPr>
                <w:rFonts w:ascii="仿宋" w:hAnsi="仿宋" w:eastAsia="仿宋" w:cs="Times New Roman"/>
                <w:color w:val="333333"/>
                <w:kern w:val="0"/>
                <w:sz w:val="24"/>
                <w:szCs w:val="28"/>
              </w:rPr>
              <w:t>045116</w:t>
            </w:r>
          </w:p>
        </w:tc>
        <w:tc>
          <w:tcPr>
            <w:tcW w:w="2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8"/>
              </w:rPr>
              <w:t>心理健康教育</w:t>
            </w:r>
          </w:p>
        </w:tc>
        <w:tc>
          <w:tcPr>
            <w:tcW w:w="39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" w:hAnsi="仿宋" w:eastAsia="仿宋" w:cs="宋体"/>
                <w:color w:val="333333"/>
                <w:kern w:val="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67" w:hRule="atLeast"/>
          <w:jc w:val="center"/>
        </w:trPr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color w:val="333333"/>
                <w:kern w:val="0"/>
                <w:sz w:val="24"/>
                <w:szCs w:val="28"/>
              </w:rPr>
            </w:pPr>
            <w:r>
              <w:rPr>
                <w:rFonts w:ascii="仿宋" w:hAnsi="仿宋" w:eastAsia="仿宋" w:cs="Times New Roman"/>
                <w:color w:val="333333"/>
                <w:kern w:val="0"/>
                <w:sz w:val="24"/>
                <w:szCs w:val="28"/>
              </w:rPr>
              <w:t>045118</w:t>
            </w:r>
          </w:p>
        </w:tc>
        <w:tc>
          <w:tcPr>
            <w:tcW w:w="2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8"/>
              </w:rPr>
              <w:t>学前教育</w:t>
            </w:r>
          </w:p>
        </w:tc>
        <w:tc>
          <w:tcPr>
            <w:tcW w:w="39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" w:hAnsi="仿宋" w:eastAsia="仿宋" w:cs="宋体"/>
                <w:color w:val="333333"/>
                <w:kern w:val="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67" w:hRule="atLeast"/>
          <w:jc w:val="center"/>
        </w:trPr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color w:val="333333"/>
                <w:kern w:val="0"/>
                <w:sz w:val="24"/>
                <w:szCs w:val="28"/>
              </w:rPr>
            </w:pPr>
            <w:r>
              <w:rPr>
                <w:rFonts w:ascii="仿宋" w:hAnsi="仿宋" w:eastAsia="仿宋" w:cs="Times New Roman"/>
                <w:color w:val="333333"/>
                <w:kern w:val="0"/>
                <w:sz w:val="24"/>
                <w:szCs w:val="28"/>
              </w:rPr>
              <w:t>045120</w:t>
            </w:r>
          </w:p>
        </w:tc>
        <w:tc>
          <w:tcPr>
            <w:tcW w:w="2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8"/>
              </w:rPr>
              <w:t>职业技术教育</w:t>
            </w:r>
          </w:p>
        </w:tc>
        <w:tc>
          <w:tcPr>
            <w:tcW w:w="3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" w:hAnsi="仿宋" w:eastAsia="仿宋" w:cs="宋体"/>
                <w:color w:val="333333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8"/>
              </w:rPr>
              <w:t>要求前置专业必须相关，不招收跨专业考生</w:t>
            </w:r>
          </w:p>
        </w:tc>
      </w:tr>
    </w:tbl>
    <w:p>
      <w:pPr>
        <w:overflowPunct w:val="0"/>
        <w:adjustRightInd w:val="0"/>
        <w:snapToGrid w:val="0"/>
        <w:spacing w:beforeLines="50" w:afterLines="50" w:line="600" w:lineRule="exact"/>
        <w:jc w:val="left"/>
        <w:rPr>
          <w:rFonts w:ascii="黑体" w:hAnsi="黑体" w:eastAsia="黑体"/>
          <w:b/>
          <w:sz w:val="28"/>
          <w:szCs w:val="32"/>
        </w:rPr>
      </w:pPr>
      <w:r>
        <w:rPr>
          <w:rFonts w:hint="eastAsia" w:ascii="黑体" w:hAnsi="黑体" w:eastAsia="黑体"/>
          <w:b/>
          <w:sz w:val="28"/>
          <w:szCs w:val="32"/>
        </w:rPr>
        <w:t>非全日制教育硕士：</w:t>
      </w:r>
    </w:p>
    <w:tbl>
      <w:tblPr>
        <w:tblStyle w:val="3"/>
        <w:tblW w:w="7956" w:type="dxa"/>
        <w:jc w:val="center"/>
        <w:tblInd w:w="-198" w:type="dxa"/>
        <w:tblLayout w:type="fixed"/>
        <w:tblCellMar>
          <w:top w:w="0" w:type="dxa"/>
          <w:left w:w="113" w:type="dxa"/>
          <w:bottom w:w="0" w:type="dxa"/>
          <w:right w:w="113" w:type="dxa"/>
        </w:tblCellMar>
      </w:tblPr>
      <w:tblGrid>
        <w:gridCol w:w="1526"/>
        <w:gridCol w:w="2552"/>
        <w:gridCol w:w="3878"/>
      </w:tblGrid>
      <w:tr>
        <w:tblPrEx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67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color w:val="333333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4"/>
                <w:szCs w:val="28"/>
              </w:rPr>
              <w:t>代码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8"/>
              </w:rPr>
              <w:t>专业名称</w:t>
            </w:r>
          </w:p>
        </w:tc>
        <w:tc>
          <w:tcPr>
            <w:tcW w:w="3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color w:val="333333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4"/>
                <w:szCs w:val="28"/>
              </w:rPr>
              <w:t>招生对象</w:t>
            </w:r>
          </w:p>
        </w:tc>
      </w:tr>
      <w:tr>
        <w:tblPrEx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67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color w:val="333333"/>
                <w:kern w:val="0"/>
                <w:sz w:val="24"/>
                <w:szCs w:val="28"/>
              </w:rPr>
            </w:pPr>
            <w:r>
              <w:rPr>
                <w:rFonts w:ascii="仿宋" w:hAnsi="仿宋" w:eastAsia="仿宋" w:cs="Times New Roman"/>
                <w:color w:val="333333"/>
                <w:kern w:val="0"/>
                <w:sz w:val="24"/>
                <w:szCs w:val="28"/>
              </w:rPr>
              <w:t>045101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8"/>
              </w:rPr>
              <w:t>教育管理</w:t>
            </w:r>
          </w:p>
        </w:tc>
        <w:tc>
          <w:tcPr>
            <w:tcW w:w="387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Times New Roman"/>
                <w:color w:val="333333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4"/>
                <w:szCs w:val="28"/>
              </w:rPr>
              <w:t>1．原则上只招在职人员，不招收应届本科毕业生；</w:t>
            </w:r>
          </w:p>
          <w:p>
            <w:pPr>
              <w:snapToGrid w:val="0"/>
              <w:rPr>
                <w:rFonts w:ascii="仿宋" w:hAnsi="仿宋" w:eastAsia="仿宋" w:cs="Times New Roman"/>
                <w:color w:val="333333"/>
                <w:kern w:val="0"/>
                <w:sz w:val="24"/>
                <w:szCs w:val="28"/>
              </w:rPr>
            </w:pPr>
          </w:p>
          <w:p>
            <w:pPr>
              <w:snapToGrid w:val="0"/>
              <w:rPr>
                <w:rFonts w:ascii="仿宋" w:hAnsi="仿宋" w:eastAsia="仿宋" w:cs="Times New Roman"/>
                <w:color w:val="333333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4"/>
                <w:szCs w:val="28"/>
              </w:rPr>
              <w:t>2. 原则上只招在职中小学、幼儿园、中职学校专任教师或管理人员，以及各级教育行政部门或教育研究部门中有相当于中学、小学、幼儿园教师职务的教研员或管理人员，不招收高校、教育行政机关、社会教育机构、心理咨询机构、文化事业单位、企业公司等在职人员。</w:t>
            </w:r>
          </w:p>
          <w:p>
            <w:pPr>
              <w:snapToGrid w:val="0"/>
              <w:rPr>
                <w:rFonts w:ascii="仿宋" w:hAnsi="仿宋" w:eastAsia="仿宋" w:cs="Times New Roman"/>
                <w:color w:val="333333"/>
                <w:kern w:val="0"/>
                <w:sz w:val="24"/>
                <w:szCs w:val="28"/>
              </w:rPr>
            </w:pPr>
          </w:p>
          <w:p>
            <w:pPr>
              <w:snapToGrid w:val="0"/>
              <w:rPr>
                <w:rFonts w:ascii="仿宋" w:hAnsi="仿宋" w:eastAsia="仿宋" w:cs="Times New Roman"/>
                <w:color w:val="333333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4"/>
                <w:szCs w:val="28"/>
              </w:rPr>
              <w:t>3．职业技术教育领域，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8"/>
              </w:rPr>
              <w:t>要求前置专业必须相关，不招收跨专业考生</w:t>
            </w:r>
          </w:p>
        </w:tc>
      </w:tr>
      <w:tr>
        <w:tblPrEx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67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color w:val="333333"/>
                <w:kern w:val="0"/>
                <w:sz w:val="24"/>
                <w:szCs w:val="28"/>
              </w:rPr>
            </w:pPr>
            <w:r>
              <w:rPr>
                <w:rFonts w:ascii="仿宋" w:hAnsi="仿宋" w:eastAsia="仿宋" w:cs="Times New Roman"/>
                <w:color w:val="333333"/>
                <w:kern w:val="0"/>
                <w:sz w:val="24"/>
                <w:szCs w:val="28"/>
              </w:rPr>
              <w:t>045103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8"/>
              </w:rPr>
              <w:t>学科教学（语文）</w:t>
            </w:r>
          </w:p>
        </w:tc>
        <w:tc>
          <w:tcPr>
            <w:tcW w:w="387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Times New Roman"/>
                <w:color w:val="333333"/>
                <w:kern w:val="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67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color w:val="333333"/>
                <w:kern w:val="0"/>
                <w:sz w:val="24"/>
                <w:szCs w:val="28"/>
              </w:rPr>
            </w:pPr>
            <w:r>
              <w:rPr>
                <w:rFonts w:ascii="仿宋" w:hAnsi="仿宋" w:eastAsia="仿宋" w:cs="Times New Roman"/>
                <w:color w:val="333333"/>
                <w:kern w:val="0"/>
                <w:sz w:val="24"/>
                <w:szCs w:val="28"/>
              </w:rPr>
              <w:t>045108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8"/>
              </w:rPr>
              <w:t>学科教学（英语）</w:t>
            </w:r>
          </w:p>
        </w:tc>
        <w:tc>
          <w:tcPr>
            <w:tcW w:w="387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Times New Roman"/>
                <w:color w:val="333333"/>
                <w:kern w:val="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67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color w:val="333333"/>
                <w:kern w:val="0"/>
                <w:sz w:val="24"/>
                <w:szCs w:val="28"/>
              </w:rPr>
            </w:pPr>
            <w:r>
              <w:rPr>
                <w:rFonts w:ascii="仿宋" w:hAnsi="仿宋" w:eastAsia="仿宋" w:cs="Times New Roman"/>
                <w:color w:val="333333"/>
                <w:kern w:val="0"/>
                <w:sz w:val="24"/>
                <w:szCs w:val="28"/>
              </w:rPr>
              <w:t>045109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8"/>
              </w:rPr>
              <w:t>学科教学（历史）</w:t>
            </w:r>
          </w:p>
        </w:tc>
        <w:tc>
          <w:tcPr>
            <w:tcW w:w="387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Times New Roman"/>
                <w:color w:val="333333"/>
                <w:kern w:val="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67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color w:val="333333"/>
                <w:kern w:val="0"/>
                <w:sz w:val="24"/>
                <w:szCs w:val="28"/>
              </w:rPr>
            </w:pPr>
            <w:r>
              <w:rPr>
                <w:rFonts w:ascii="仿宋" w:hAnsi="仿宋" w:eastAsia="仿宋" w:cs="Times New Roman"/>
                <w:color w:val="333333"/>
                <w:kern w:val="0"/>
                <w:sz w:val="24"/>
                <w:szCs w:val="28"/>
              </w:rPr>
              <w:t>045110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8"/>
              </w:rPr>
              <w:t>学科教学（地理）</w:t>
            </w:r>
          </w:p>
        </w:tc>
        <w:tc>
          <w:tcPr>
            <w:tcW w:w="387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Times New Roman"/>
                <w:color w:val="333333"/>
                <w:kern w:val="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67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color w:val="333333"/>
                <w:kern w:val="0"/>
                <w:sz w:val="24"/>
                <w:szCs w:val="28"/>
              </w:rPr>
            </w:pPr>
            <w:r>
              <w:rPr>
                <w:rFonts w:ascii="仿宋" w:hAnsi="仿宋" w:eastAsia="仿宋" w:cs="Times New Roman"/>
                <w:color w:val="333333"/>
                <w:kern w:val="0"/>
                <w:sz w:val="24"/>
                <w:szCs w:val="28"/>
              </w:rPr>
              <w:t>045114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8"/>
              </w:rPr>
              <w:t>现代教育技术</w:t>
            </w:r>
          </w:p>
        </w:tc>
        <w:tc>
          <w:tcPr>
            <w:tcW w:w="387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Times New Roman"/>
                <w:color w:val="333333"/>
                <w:kern w:val="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67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color w:val="333333"/>
                <w:kern w:val="0"/>
                <w:sz w:val="24"/>
                <w:szCs w:val="28"/>
              </w:rPr>
            </w:pPr>
            <w:r>
              <w:rPr>
                <w:rFonts w:ascii="仿宋" w:hAnsi="仿宋" w:eastAsia="仿宋" w:cs="Times New Roman"/>
                <w:color w:val="333333"/>
                <w:kern w:val="0"/>
                <w:sz w:val="24"/>
                <w:szCs w:val="28"/>
              </w:rPr>
              <w:t>045116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8"/>
              </w:rPr>
              <w:t>心理健康教育</w:t>
            </w:r>
          </w:p>
        </w:tc>
        <w:tc>
          <w:tcPr>
            <w:tcW w:w="387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Times New Roman"/>
                <w:color w:val="333333"/>
                <w:kern w:val="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756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color w:val="333333"/>
                <w:kern w:val="0"/>
                <w:sz w:val="24"/>
                <w:szCs w:val="28"/>
              </w:rPr>
            </w:pPr>
            <w:r>
              <w:rPr>
                <w:rFonts w:ascii="仿宋" w:hAnsi="仿宋" w:eastAsia="仿宋" w:cs="Times New Roman"/>
                <w:color w:val="333333"/>
                <w:kern w:val="0"/>
                <w:sz w:val="24"/>
                <w:szCs w:val="28"/>
              </w:rPr>
              <w:t>045120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8"/>
              </w:rPr>
              <w:t>职业技术教育</w:t>
            </w:r>
          </w:p>
        </w:tc>
        <w:tc>
          <w:tcPr>
            <w:tcW w:w="387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Times New Roman"/>
                <w:color w:val="333333"/>
                <w:kern w:val="0"/>
                <w:sz w:val="24"/>
                <w:szCs w:val="28"/>
              </w:rPr>
            </w:pP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421B"/>
    <w:rsid w:val="0026421B"/>
    <w:rsid w:val="004076E8"/>
    <w:rsid w:val="00797A42"/>
    <w:rsid w:val="00A86E04"/>
    <w:rsid w:val="00C2557A"/>
    <w:rsid w:val="00FB2075"/>
    <w:rsid w:val="2DC4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0"/>
      <w:szCs w:val="30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114</Words>
  <Characters>656</Characters>
  <Lines>5</Lines>
  <Paragraphs>1</Paragraphs>
  <TotalTime>11</TotalTime>
  <ScaleCrop>false</ScaleCrop>
  <LinksUpToDate>false</LinksUpToDate>
  <CharactersWithSpaces>769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2018-09-08T09:28:00Z</dcterms:created>
  <dc:creator>sun</dc:creator>
  <cp:lastModifiedBy>sun</cp:lastModifiedBy>
  <dcterms:modified xsi:type="dcterms:W3CDTF">2018-09-13T07:13:44Z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