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jc w:val="center"/>
        <w:textAlignment w:val="auto"/>
        <w:rPr>
          <w:rFonts w:hint="eastAsia" w:ascii="Times New Roman" w:hAnsi="Times New Roman" w:eastAsia="宋体" w:cs="宋体"/>
          <w:b/>
          <w:bCs/>
          <w:kern w:val="0"/>
          <w:sz w:val="24"/>
          <w:szCs w:val="24"/>
        </w:rPr>
      </w:pPr>
      <w:r>
        <w:rPr>
          <w:rFonts w:hint="eastAsia" w:ascii="Times New Roman" w:hAnsi="Times New Roman" w:eastAsia="宋体" w:cs="宋体"/>
          <w:b/>
          <w:bCs/>
          <w:kern w:val="0"/>
          <w:sz w:val="24"/>
          <w:szCs w:val="24"/>
        </w:rPr>
        <w:t>202</w:t>
      </w:r>
      <w:r>
        <w:rPr>
          <w:rFonts w:hint="eastAsia" w:ascii="Times New Roman" w:hAnsi="Times New Roman" w:eastAsia="宋体" w:cs="宋体"/>
          <w:b/>
          <w:bCs/>
          <w:kern w:val="0"/>
          <w:sz w:val="24"/>
          <w:szCs w:val="24"/>
          <w:lang w:val="en-US" w:eastAsia="zh-CN"/>
        </w:rPr>
        <w:t>1</w:t>
      </w:r>
      <w:r>
        <w:rPr>
          <w:rFonts w:hint="eastAsia" w:ascii="Times New Roman" w:hAnsi="Times New Roman" w:eastAsia="宋体" w:cs="宋体"/>
          <w:b/>
          <w:bCs/>
          <w:kern w:val="0"/>
          <w:sz w:val="24"/>
          <w:szCs w:val="24"/>
        </w:rPr>
        <w:t>年港澳台博士招生考试大纲</w:t>
      </w:r>
    </w:p>
    <w:p>
      <w:pPr>
        <w:spacing w:line="360" w:lineRule="auto"/>
        <w:rPr>
          <w:rFonts w:hint="eastAsia" w:ascii="Times New Roman" w:hAnsi="Times New Roman" w:eastAsia="宋体" w:cs="宋体"/>
          <w:b/>
          <w:color w:val="0000FF"/>
          <w:kern w:val="0"/>
          <w:sz w:val="24"/>
          <w:szCs w:val="24"/>
        </w:rPr>
      </w:pPr>
      <w:r>
        <w:rPr>
          <w:rFonts w:hint="eastAsia" w:ascii="Times New Roman" w:hAnsi="Times New Roman" w:eastAsia="宋体" w:cs="宋体"/>
          <w:b/>
          <w:color w:val="0000FF"/>
          <w:kern w:val="0"/>
          <w:sz w:val="24"/>
          <w:szCs w:val="24"/>
        </w:rPr>
        <w:t>120401 行政管理</w:t>
      </w:r>
    </w:p>
    <w:p>
      <w:pPr>
        <w:widowControl/>
        <w:spacing w:line="360" w:lineRule="auto"/>
        <w:ind w:firstLine="480" w:firstLineChars="200"/>
        <w:jc w:val="left"/>
        <w:rPr>
          <w:rFonts w:hint="eastAsia" w:ascii="Times New Roman" w:hAnsi="Times New Roman" w:eastAsia="宋体" w:cs="宋体"/>
          <w:bCs/>
          <w:color w:val="000000" w:themeColor="text1"/>
          <w:kern w:val="0"/>
          <w:sz w:val="24"/>
          <w:szCs w:val="24"/>
        </w:rPr>
      </w:pPr>
      <w:r>
        <w:rPr>
          <w:rFonts w:hint="eastAsia" w:ascii="Times New Roman" w:hAnsi="Times New Roman" w:eastAsia="宋体" w:cs="宋体"/>
          <w:bCs/>
          <w:color w:val="000000" w:themeColor="text1"/>
          <w:kern w:val="0"/>
          <w:sz w:val="24"/>
          <w:szCs w:val="24"/>
        </w:rPr>
        <w:t>华南师范大学政治与公共管理学院行政管理专业经过多年建设，本专业现已形成年龄结构合理、梯队完整、研究方向齐备的导师队伍。目前共有博士生导师4名。本专业注重培养学生的理论创新意识，提倡严谨扎实的学风，注重培养学生在行政管理实践过程中提出问题、分析问题和解决问题，将理论与实践相互结合的能力。本专业的招生与培养适应范围较为广泛，博士生毕业后不仅适合从事与本专业相关的教学科研工作，而且适合从事政府部门和第三共部门的人事管理、行政管理工作等。</w:t>
      </w:r>
    </w:p>
    <w:p>
      <w:pPr>
        <w:widowControl/>
        <w:spacing w:line="360" w:lineRule="auto"/>
        <w:ind w:firstLine="480" w:firstLineChars="200"/>
        <w:jc w:val="left"/>
        <w:rPr>
          <w:rFonts w:hint="eastAsia" w:ascii="Times New Roman" w:hAnsi="Times New Roman" w:eastAsia="宋体" w:cs="宋体"/>
          <w:bCs/>
          <w:color w:val="000000" w:themeColor="text1"/>
          <w:kern w:val="0"/>
          <w:sz w:val="24"/>
          <w:szCs w:val="24"/>
        </w:rPr>
      </w:pPr>
    </w:p>
    <w:p>
      <w:pPr>
        <w:spacing w:after="120" w:line="360" w:lineRule="auto"/>
        <w:rPr>
          <w:rFonts w:hint="eastAsia" w:ascii="Times New Roman" w:hAnsi="Times New Roman" w:eastAsia="宋体" w:cs="宋体"/>
          <w:b/>
          <w:color w:val="000000" w:themeColor="text1"/>
          <w:sz w:val="24"/>
          <w:szCs w:val="24"/>
        </w:rPr>
      </w:pPr>
      <w:r>
        <w:rPr>
          <w:rFonts w:hint="eastAsia" w:ascii="Times New Roman" w:hAnsi="Times New Roman" w:eastAsia="宋体" w:cs="宋体"/>
          <w:b/>
          <w:color w:val="000000" w:themeColor="text1"/>
          <w:sz w:val="24"/>
          <w:szCs w:val="24"/>
        </w:rPr>
        <w:t>考试大纲：</w:t>
      </w:r>
    </w:p>
    <w:p>
      <w:pPr>
        <w:spacing w:line="360" w:lineRule="auto"/>
        <w:ind w:left="211" w:hanging="241" w:hangingChars="100"/>
        <w:rPr>
          <w:rFonts w:hint="eastAsia" w:ascii="Times New Roman" w:hAnsi="Times New Roman" w:eastAsia="宋体" w:cs="宋体"/>
          <w:b/>
          <w:color w:val="000000" w:themeColor="text1"/>
          <w:sz w:val="24"/>
          <w:szCs w:val="24"/>
        </w:rPr>
      </w:pPr>
      <w:r>
        <w:rPr>
          <w:rFonts w:hint="eastAsia" w:ascii="Times New Roman" w:hAnsi="Times New Roman" w:eastAsia="宋体" w:cs="宋体"/>
          <w:b/>
          <w:color w:val="000000" w:themeColor="text1"/>
          <w:sz w:val="24"/>
          <w:szCs w:val="24"/>
        </w:rPr>
        <w:t>科目一：《公共管理学》</w:t>
      </w:r>
    </w:p>
    <w:p>
      <w:pPr>
        <w:spacing w:line="360" w:lineRule="auto"/>
        <w:ind w:left="210" w:leftChars="100" w:firstLine="480" w:firstLineChars="20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考查目标：系统掌握公共管理学的基础知识、基本概念、基本理论以及发展历程；理解政府行政管理和公共政策的任务、过程、原则和方法；能运用公共管理学的基本理论来分析和解决公共部门和公共治理中的现实、前沿问题。</w:t>
      </w:r>
    </w:p>
    <w:p>
      <w:pPr>
        <w:spacing w:line="360" w:lineRule="auto"/>
        <w:ind w:left="210" w:leftChars="100" w:firstLine="480" w:firstLineChars="20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考查内容：</w:t>
      </w:r>
    </w:p>
    <w:p>
      <w:pPr>
        <w:pStyle w:val="12"/>
        <w:numPr>
          <w:ilvl w:val="0"/>
          <w:numId w:val="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公共管理学的发展历史</w:t>
      </w:r>
    </w:p>
    <w:p>
      <w:pPr>
        <w:pStyle w:val="12"/>
        <w:numPr>
          <w:ilvl w:val="0"/>
          <w:numId w:val="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公共管理学（行政管理学）的主要理论</w:t>
      </w:r>
    </w:p>
    <w:p>
      <w:pPr>
        <w:pStyle w:val="12"/>
        <w:numPr>
          <w:ilvl w:val="0"/>
          <w:numId w:val="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公共管理的环境、职能、目标与责任</w:t>
      </w:r>
    </w:p>
    <w:p>
      <w:pPr>
        <w:pStyle w:val="12"/>
        <w:numPr>
          <w:ilvl w:val="0"/>
          <w:numId w:val="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公共组织（政府）的特征、运行与治理</w:t>
      </w:r>
    </w:p>
    <w:p>
      <w:pPr>
        <w:pStyle w:val="12"/>
        <w:numPr>
          <w:ilvl w:val="0"/>
          <w:numId w:val="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公共政策的设计、执行与评估</w:t>
      </w:r>
    </w:p>
    <w:p>
      <w:pPr>
        <w:pStyle w:val="12"/>
        <w:numPr>
          <w:ilvl w:val="0"/>
          <w:numId w:val="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公共部门的人事管理与绩效管理</w:t>
      </w:r>
    </w:p>
    <w:p>
      <w:pPr>
        <w:pStyle w:val="12"/>
        <w:numPr>
          <w:ilvl w:val="0"/>
          <w:numId w:val="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公共财政与预算管理</w:t>
      </w:r>
    </w:p>
    <w:p>
      <w:pPr>
        <w:pStyle w:val="12"/>
        <w:numPr>
          <w:ilvl w:val="0"/>
          <w:numId w:val="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公共危机应对与管理</w:t>
      </w:r>
    </w:p>
    <w:p>
      <w:pPr>
        <w:pStyle w:val="12"/>
        <w:numPr>
          <w:ilvl w:val="0"/>
          <w:numId w:val="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社会组织管理与社会治理创新</w:t>
      </w:r>
    </w:p>
    <w:p>
      <w:pPr>
        <w:pStyle w:val="12"/>
        <w:numPr>
          <w:ilvl w:val="0"/>
          <w:numId w:val="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公共管理的伦理、监督与法制</w:t>
      </w:r>
    </w:p>
    <w:p>
      <w:pPr>
        <w:pStyle w:val="12"/>
        <w:numPr>
          <w:ilvl w:val="0"/>
          <w:numId w:val="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中国公共管理（行政管理）的前沿问题</w:t>
      </w:r>
    </w:p>
    <w:p>
      <w:pPr>
        <w:widowControl/>
        <w:adjustRightInd w:val="0"/>
        <w:snapToGrid w:val="0"/>
        <w:spacing w:line="360" w:lineRule="auto"/>
        <w:ind w:firstLine="480" w:firstLineChars="200"/>
        <w:jc w:val="left"/>
        <w:rPr>
          <w:rFonts w:hint="eastAsia" w:ascii="Times New Roman" w:hAnsi="Times New Roman" w:eastAsia="宋体" w:cs="宋体"/>
          <w:kern w:val="0"/>
          <w:sz w:val="24"/>
          <w:szCs w:val="24"/>
        </w:rPr>
      </w:pPr>
    </w:p>
    <w:p>
      <w:pPr>
        <w:widowControl/>
        <w:spacing w:line="360" w:lineRule="auto"/>
        <w:jc w:val="left"/>
        <w:rPr>
          <w:rFonts w:hint="eastAsia" w:ascii="Times New Roman" w:hAnsi="Times New Roman" w:eastAsia="宋体" w:cs="宋体"/>
          <w:b/>
          <w:bCs/>
          <w:color w:val="000000" w:themeColor="text1"/>
          <w:kern w:val="0"/>
          <w:sz w:val="24"/>
          <w:szCs w:val="24"/>
        </w:rPr>
      </w:pPr>
    </w:p>
    <w:p>
      <w:pPr>
        <w:widowControl/>
        <w:spacing w:line="360" w:lineRule="auto"/>
        <w:jc w:val="left"/>
        <w:rPr>
          <w:rFonts w:hint="eastAsia" w:ascii="Times New Roman" w:hAnsi="Times New Roman" w:eastAsia="宋体" w:cs="宋体"/>
          <w:b/>
          <w:kern w:val="0"/>
          <w:sz w:val="24"/>
          <w:szCs w:val="24"/>
        </w:rPr>
      </w:pPr>
      <w:r>
        <w:rPr>
          <w:rFonts w:hint="eastAsia" w:ascii="Times New Roman" w:hAnsi="Times New Roman" w:eastAsia="宋体" w:cs="宋体"/>
          <w:b/>
          <w:bCs/>
          <w:color w:val="000000" w:themeColor="text1"/>
          <w:kern w:val="0"/>
          <w:sz w:val="24"/>
          <w:szCs w:val="24"/>
        </w:rPr>
        <w:t>科目二：《社会科学研究方法》</w:t>
      </w:r>
    </w:p>
    <w:p>
      <w:pPr>
        <w:spacing w:line="360" w:lineRule="auto"/>
        <w:ind w:firstLine="480" w:firstLineChars="20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考查目标：系统掌握社会科学研究方法的基础知识、基本概念、基本理论，能够熟练运用问卷调查、深度访谈等方法搜集研究资料，能够根据研究需要设计抽样调查方法，能够恰当运用质性研究方法和量化研究方法对资料或数据展开分析，能够掌握社会科学研究论文的写作模式和规范。</w:t>
      </w:r>
    </w:p>
    <w:p>
      <w:pPr>
        <w:spacing w:line="360" w:lineRule="auto"/>
        <w:ind w:left="210" w:leftChars="100" w:firstLine="240" w:firstLineChars="10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考查内容：</w:t>
      </w:r>
    </w:p>
    <w:p>
      <w:pPr>
        <w:pStyle w:val="12"/>
        <w:numPr>
          <w:ilvl w:val="0"/>
          <w:numId w:val="2"/>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社会科学研究的主要方法及其特点；</w:t>
      </w:r>
    </w:p>
    <w:p>
      <w:pPr>
        <w:pStyle w:val="12"/>
        <w:numPr>
          <w:ilvl w:val="0"/>
          <w:numId w:val="2"/>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实证研究的基本理论与逻辑；</w:t>
      </w:r>
    </w:p>
    <w:p>
      <w:pPr>
        <w:pStyle w:val="12"/>
        <w:numPr>
          <w:ilvl w:val="0"/>
          <w:numId w:val="2"/>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问卷设计与抽样调查方法；</w:t>
      </w:r>
    </w:p>
    <w:p>
      <w:pPr>
        <w:pStyle w:val="12"/>
        <w:numPr>
          <w:ilvl w:val="0"/>
          <w:numId w:val="2"/>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质性研究方法（深度访谈、案例研究、田野研究，等）；</w:t>
      </w:r>
    </w:p>
    <w:p>
      <w:pPr>
        <w:pStyle w:val="12"/>
        <w:numPr>
          <w:ilvl w:val="0"/>
          <w:numId w:val="2"/>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量化研究方法（相关分析、回归分析、因果机制检验，等）；</w:t>
      </w:r>
    </w:p>
    <w:p>
      <w:pPr>
        <w:pStyle w:val="12"/>
        <w:numPr>
          <w:ilvl w:val="0"/>
          <w:numId w:val="2"/>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社会科学学术论文写作方法与规范等。</w:t>
      </w:r>
    </w:p>
    <w:p>
      <w:pPr>
        <w:pStyle w:val="12"/>
        <w:widowControl w:val="0"/>
        <w:numPr>
          <w:ilvl w:val="0"/>
          <w:numId w:val="0"/>
        </w:numPr>
        <w:spacing w:line="360" w:lineRule="auto"/>
        <w:jc w:val="both"/>
        <w:rPr>
          <w:rFonts w:hint="eastAsia" w:ascii="Times New Roman" w:hAnsi="Times New Roman" w:eastAsia="宋体" w:cs="宋体"/>
          <w:color w:val="000000" w:themeColor="text1"/>
          <w:sz w:val="24"/>
          <w:szCs w:val="24"/>
        </w:rPr>
      </w:pPr>
    </w:p>
    <w:p>
      <w:pPr>
        <w:pStyle w:val="12"/>
        <w:widowControl w:val="0"/>
        <w:numPr>
          <w:ilvl w:val="0"/>
          <w:numId w:val="0"/>
        </w:numPr>
        <w:spacing w:line="360" w:lineRule="auto"/>
        <w:jc w:val="both"/>
        <w:rPr>
          <w:rFonts w:hint="eastAsia" w:ascii="Times New Roman" w:hAnsi="Times New Roman" w:eastAsia="宋体" w:cs="宋体"/>
          <w:color w:val="000000" w:themeColor="text1"/>
          <w:sz w:val="24"/>
          <w:szCs w:val="24"/>
        </w:rPr>
      </w:pPr>
    </w:p>
    <w:p>
      <w:pPr>
        <w:pStyle w:val="12"/>
        <w:widowControl w:val="0"/>
        <w:numPr>
          <w:ilvl w:val="0"/>
          <w:numId w:val="0"/>
        </w:numPr>
        <w:spacing w:line="360" w:lineRule="auto"/>
        <w:jc w:val="both"/>
        <w:rPr>
          <w:rFonts w:hint="eastAsia" w:ascii="Times New Roman" w:hAnsi="Times New Roman" w:eastAsia="宋体" w:cs="宋体"/>
          <w:color w:val="000000" w:themeColor="text1"/>
          <w:sz w:val="24"/>
          <w:szCs w:val="24"/>
        </w:rPr>
      </w:pPr>
    </w:p>
    <w:p>
      <w:pPr>
        <w:spacing w:line="360" w:lineRule="auto"/>
        <w:rPr>
          <w:rFonts w:hint="eastAsia" w:ascii="Times New Roman" w:hAnsi="Times New Roman" w:eastAsia="宋体" w:cs="宋体"/>
          <w:b/>
          <w:color w:val="000000" w:themeColor="text1"/>
          <w:kern w:val="0"/>
          <w:sz w:val="24"/>
          <w:szCs w:val="24"/>
        </w:rPr>
      </w:pPr>
      <w:r>
        <w:rPr>
          <w:rFonts w:hint="eastAsia" w:ascii="Times New Roman" w:hAnsi="Times New Roman" w:eastAsia="宋体" w:cs="宋体"/>
          <w:b/>
          <w:color w:val="0000FF"/>
          <w:kern w:val="0"/>
          <w:sz w:val="24"/>
          <w:szCs w:val="24"/>
        </w:rPr>
        <w:t>120403 教育经济与管理</w:t>
      </w:r>
    </w:p>
    <w:p>
      <w:pPr>
        <w:widowControl/>
        <w:spacing w:line="360" w:lineRule="auto"/>
        <w:ind w:firstLine="480" w:firstLineChars="200"/>
        <w:jc w:val="left"/>
        <w:rPr>
          <w:rFonts w:hint="eastAsia" w:ascii="Times New Roman" w:hAnsi="Times New Roman" w:eastAsia="宋体" w:cs="宋体"/>
          <w:bCs/>
          <w:color w:val="000000" w:themeColor="text1"/>
          <w:kern w:val="0"/>
          <w:sz w:val="24"/>
          <w:szCs w:val="24"/>
        </w:rPr>
      </w:pPr>
      <w:r>
        <w:rPr>
          <w:rFonts w:hint="eastAsia" w:ascii="Times New Roman" w:hAnsi="Times New Roman" w:eastAsia="宋体" w:cs="宋体"/>
          <w:bCs/>
          <w:color w:val="000000" w:themeColor="text1"/>
          <w:kern w:val="0"/>
          <w:sz w:val="24"/>
          <w:szCs w:val="24"/>
        </w:rPr>
        <w:t>华南师范大学</w:t>
      </w:r>
      <w:r>
        <w:rPr>
          <w:rFonts w:hint="eastAsia" w:ascii="Times New Roman" w:hAnsi="Times New Roman" w:eastAsia="宋体" w:cs="宋体"/>
          <w:bCs/>
          <w:color w:val="000000" w:themeColor="text1"/>
          <w:kern w:val="0"/>
          <w:sz w:val="24"/>
          <w:szCs w:val="24"/>
          <w:lang w:eastAsia="zh-CN"/>
        </w:rPr>
        <w:t>政治与</w:t>
      </w:r>
      <w:r>
        <w:rPr>
          <w:rFonts w:hint="eastAsia" w:ascii="Times New Roman" w:hAnsi="Times New Roman" w:eastAsia="宋体" w:cs="宋体"/>
          <w:bCs/>
          <w:color w:val="000000" w:themeColor="text1"/>
          <w:kern w:val="0"/>
          <w:sz w:val="24"/>
          <w:szCs w:val="24"/>
        </w:rPr>
        <w:t>公共管理学院教育经济与管理专业底蕴深厚，是全国少数几所完整设置本科、硕士研究生、博士研究生培养体系的院校之一。经过多年的建设，本专业现已形成年龄结构合理、梯队完整、研究方向齐备的导师队伍。目前共有博士生导师5名。本专业注重培养学生的理论创新意识，提倡严谨扎实的学风，注重培养学生在教育管理实践过程中提出问题、分析问题和解决问题的能力。本专业的招生与培养适应范围较为广泛，学生毕业后不仅适合从事与本专业相关的教学工作，而且适合从事教育科学研究，也适合担任教育行政管理工作以及教育管理咨询工作等。</w:t>
      </w:r>
    </w:p>
    <w:p>
      <w:pPr>
        <w:spacing w:line="360" w:lineRule="auto"/>
        <w:rPr>
          <w:rFonts w:hint="eastAsia" w:ascii="Times New Roman" w:hAnsi="Times New Roman" w:eastAsia="宋体" w:cs="宋体"/>
          <w:b/>
          <w:color w:val="000000" w:themeColor="text1"/>
          <w:kern w:val="0"/>
          <w:sz w:val="24"/>
          <w:szCs w:val="24"/>
        </w:rPr>
      </w:pPr>
    </w:p>
    <w:p>
      <w:pPr>
        <w:pStyle w:val="3"/>
        <w:spacing w:line="360" w:lineRule="auto"/>
        <w:ind w:left="0" w:leftChars="0"/>
        <w:rPr>
          <w:rFonts w:hint="eastAsia" w:ascii="Times New Roman" w:hAnsi="Times New Roman" w:eastAsia="宋体" w:cs="宋体"/>
          <w:b/>
          <w:color w:val="000000" w:themeColor="text1"/>
          <w:sz w:val="24"/>
          <w:szCs w:val="24"/>
        </w:rPr>
      </w:pPr>
      <w:r>
        <w:rPr>
          <w:rFonts w:hint="eastAsia" w:ascii="Times New Roman" w:hAnsi="Times New Roman" w:eastAsia="宋体" w:cs="宋体"/>
          <w:b/>
          <w:color w:val="000000" w:themeColor="text1"/>
          <w:sz w:val="24"/>
          <w:szCs w:val="24"/>
        </w:rPr>
        <w:t>考试大纲：</w:t>
      </w:r>
    </w:p>
    <w:p>
      <w:pPr>
        <w:spacing w:line="360" w:lineRule="auto"/>
        <w:jc w:val="left"/>
        <w:rPr>
          <w:rFonts w:hint="eastAsia" w:ascii="Times New Roman" w:hAnsi="Times New Roman" w:eastAsia="宋体" w:cs="宋体"/>
          <w:b/>
          <w:color w:val="000000" w:themeColor="text1"/>
          <w:sz w:val="24"/>
          <w:szCs w:val="24"/>
        </w:rPr>
      </w:pPr>
      <w:r>
        <w:rPr>
          <w:rFonts w:hint="eastAsia" w:ascii="Times New Roman" w:hAnsi="Times New Roman" w:eastAsia="宋体" w:cs="宋体"/>
          <w:b/>
          <w:color w:val="000000" w:themeColor="text1"/>
          <w:sz w:val="24"/>
          <w:szCs w:val="24"/>
        </w:rPr>
        <w:t xml:space="preserve">《教育学（二）》科目 </w:t>
      </w:r>
    </w:p>
    <w:p>
      <w:pPr>
        <w:spacing w:line="360" w:lineRule="auto"/>
        <w:ind w:left="210" w:leftChars="100" w:firstLine="480" w:firstLineChars="20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考查目标：系统掌握教育学的基础知识、基本概念、基本理论和现代教育观念；理解教学、德育等教育活动及其管理活动的任务、过程、原则和方法；能运用教育的基本理论和现代教育理念来分析和解决教育中的现实问题。</w:t>
      </w:r>
    </w:p>
    <w:p>
      <w:pPr>
        <w:spacing w:line="360" w:lineRule="auto"/>
        <w:ind w:left="210" w:leftChars="100" w:firstLine="480" w:firstLineChars="20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考查内容：</w:t>
      </w:r>
    </w:p>
    <w:p>
      <w:pPr>
        <w:pStyle w:val="12"/>
        <w:numPr>
          <w:ilvl w:val="0"/>
          <w:numId w:val="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教育与教育学</w:t>
      </w:r>
    </w:p>
    <w:p>
      <w:pPr>
        <w:pStyle w:val="12"/>
        <w:numPr>
          <w:ilvl w:val="0"/>
          <w:numId w:val="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对教育的理解。</w:t>
      </w:r>
    </w:p>
    <w:p>
      <w:pPr>
        <w:pStyle w:val="12"/>
        <w:numPr>
          <w:ilvl w:val="0"/>
          <w:numId w:val="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教育的构成要素。</w:t>
      </w:r>
    </w:p>
    <w:p>
      <w:pPr>
        <w:pStyle w:val="12"/>
        <w:numPr>
          <w:ilvl w:val="0"/>
          <w:numId w:val="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现代教育的特点。</w:t>
      </w:r>
    </w:p>
    <w:p>
      <w:pPr>
        <w:pStyle w:val="12"/>
        <w:numPr>
          <w:ilvl w:val="0"/>
          <w:numId w:val="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教育与人的发展</w:t>
      </w:r>
    </w:p>
    <w:p>
      <w:pPr>
        <w:pStyle w:val="12"/>
        <w:numPr>
          <w:ilvl w:val="0"/>
          <w:numId w:val="5"/>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对人的发展的理解。</w:t>
      </w:r>
    </w:p>
    <w:p>
      <w:pPr>
        <w:pStyle w:val="12"/>
        <w:numPr>
          <w:ilvl w:val="0"/>
          <w:numId w:val="5"/>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人的身心发展的特点。</w:t>
      </w:r>
    </w:p>
    <w:p>
      <w:pPr>
        <w:pStyle w:val="12"/>
        <w:numPr>
          <w:ilvl w:val="0"/>
          <w:numId w:val="5"/>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影响人的发展的不同因素及其作用。</w:t>
      </w:r>
    </w:p>
    <w:p>
      <w:pPr>
        <w:pStyle w:val="12"/>
        <w:numPr>
          <w:ilvl w:val="0"/>
          <w:numId w:val="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教育与社会发展</w:t>
      </w:r>
    </w:p>
    <w:p>
      <w:pPr>
        <w:pStyle w:val="12"/>
        <w:numPr>
          <w:ilvl w:val="0"/>
          <w:numId w:val="6"/>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生产力对教育的制约。</w:t>
      </w:r>
    </w:p>
    <w:p>
      <w:pPr>
        <w:pStyle w:val="12"/>
        <w:numPr>
          <w:ilvl w:val="0"/>
          <w:numId w:val="6"/>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文化对教育的制约。</w:t>
      </w:r>
    </w:p>
    <w:p>
      <w:pPr>
        <w:pStyle w:val="12"/>
        <w:numPr>
          <w:ilvl w:val="0"/>
          <w:numId w:val="6"/>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教育的经济功能。</w:t>
      </w:r>
    </w:p>
    <w:p>
      <w:pPr>
        <w:pStyle w:val="12"/>
        <w:numPr>
          <w:ilvl w:val="0"/>
          <w:numId w:val="6"/>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教育的文化功能。</w:t>
      </w:r>
    </w:p>
    <w:p>
      <w:pPr>
        <w:pStyle w:val="12"/>
        <w:numPr>
          <w:ilvl w:val="0"/>
          <w:numId w:val="6"/>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教育的社会流动功能。</w:t>
      </w:r>
    </w:p>
    <w:p>
      <w:pPr>
        <w:pStyle w:val="12"/>
        <w:numPr>
          <w:ilvl w:val="0"/>
          <w:numId w:val="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教育目的</w:t>
      </w:r>
    </w:p>
    <w:p>
      <w:pPr>
        <w:pStyle w:val="12"/>
        <w:numPr>
          <w:ilvl w:val="0"/>
          <w:numId w:val="7"/>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教育目的的概念。</w:t>
      </w:r>
    </w:p>
    <w:p>
      <w:pPr>
        <w:pStyle w:val="12"/>
        <w:numPr>
          <w:ilvl w:val="0"/>
          <w:numId w:val="7"/>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教育目的的价值取向。</w:t>
      </w:r>
    </w:p>
    <w:p>
      <w:pPr>
        <w:pStyle w:val="12"/>
        <w:numPr>
          <w:ilvl w:val="0"/>
          <w:numId w:val="7"/>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普通中小学的教育任务。</w:t>
      </w:r>
    </w:p>
    <w:p>
      <w:pPr>
        <w:pStyle w:val="12"/>
        <w:numPr>
          <w:ilvl w:val="0"/>
          <w:numId w:val="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教育制度</w:t>
      </w:r>
    </w:p>
    <w:p>
      <w:pPr>
        <w:pStyle w:val="12"/>
        <w:numPr>
          <w:ilvl w:val="0"/>
          <w:numId w:val="8"/>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教育制度的含义和特点。</w:t>
      </w:r>
    </w:p>
    <w:p>
      <w:pPr>
        <w:pStyle w:val="12"/>
        <w:numPr>
          <w:ilvl w:val="0"/>
          <w:numId w:val="8"/>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现代学校教育制度的类型。</w:t>
      </w:r>
    </w:p>
    <w:p>
      <w:pPr>
        <w:pStyle w:val="12"/>
        <w:numPr>
          <w:ilvl w:val="0"/>
          <w:numId w:val="8"/>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现代学校教育制度的变革。</w:t>
      </w:r>
    </w:p>
    <w:p>
      <w:pPr>
        <w:pStyle w:val="12"/>
        <w:numPr>
          <w:ilvl w:val="0"/>
          <w:numId w:val="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课程</w:t>
      </w:r>
    </w:p>
    <w:p>
      <w:pPr>
        <w:pStyle w:val="12"/>
        <w:numPr>
          <w:ilvl w:val="0"/>
          <w:numId w:val="9"/>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课程的概念。</w:t>
      </w:r>
    </w:p>
    <w:p>
      <w:pPr>
        <w:pStyle w:val="12"/>
        <w:numPr>
          <w:ilvl w:val="0"/>
          <w:numId w:val="9"/>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课程的类型。</w:t>
      </w:r>
    </w:p>
    <w:p>
      <w:pPr>
        <w:pStyle w:val="12"/>
        <w:numPr>
          <w:ilvl w:val="0"/>
          <w:numId w:val="9"/>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课程方案、课程标准、教科书之间的关系。</w:t>
      </w:r>
    </w:p>
    <w:p>
      <w:pPr>
        <w:pStyle w:val="12"/>
        <w:numPr>
          <w:ilvl w:val="0"/>
          <w:numId w:val="9"/>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课程设计的意义。</w:t>
      </w:r>
    </w:p>
    <w:p>
      <w:pPr>
        <w:pStyle w:val="12"/>
        <w:numPr>
          <w:ilvl w:val="0"/>
          <w:numId w:val="9"/>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国际中小学课程改革的趋势。</w:t>
      </w:r>
    </w:p>
    <w:p>
      <w:pPr>
        <w:pStyle w:val="12"/>
        <w:numPr>
          <w:ilvl w:val="0"/>
          <w:numId w:val="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教学</w:t>
      </w:r>
    </w:p>
    <w:p>
      <w:pPr>
        <w:pStyle w:val="12"/>
        <w:numPr>
          <w:ilvl w:val="0"/>
          <w:numId w:val="1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教学的概念。</w:t>
      </w:r>
    </w:p>
    <w:p>
      <w:pPr>
        <w:pStyle w:val="12"/>
        <w:numPr>
          <w:ilvl w:val="0"/>
          <w:numId w:val="1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中小学教学的基本任务。</w:t>
      </w:r>
    </w:p>
    <w:p>
      <w:pPr>
        <w:pStyle w:val="12"/>
        <w:numPr>
          <w:ilvl w:val="0"/>
          <w:numId w:val="1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几种现代教学理论的基本观点。</w:t>
      </w:r>
    </w:p>
    <w:p>
      <w:pPr>
        <w:pStyle w:val="12"/>
        <w:numPr>
          <w:ilvl w:val="0"/>
          <w:numId w:val="1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学生掌握知识的基本阶段。</w:t>
      </w:r>
    </w:p>
    <w:p>
      <w:pPr>
        <w:pStyle w:val="12"/>
        <w:numPr>
          <w:ilvl w:val="0"/>
          <w:numId w:val="1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学生进行问题探究学习的基本阶段。</w:t>
      </w:r>
    </w:p>
    <w:p>
      <w:pPr>
        <w:pStyle w:val="12"/>
        <w:numPr>
          <w:ilvl w:val="0"/>
          <w:numId w:val="1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教学过程需要遵循的基本原则。</w:t>
      </w:r>
    </w:p>
    <w:p>
      <w:pPr>
        <w:pStyle w:val="12"/>
        <w:numPr>
          <w:ilvl w:val="0"/>
          <w:numId w:val="1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教学方法、教学策略的含义。</w:t>
      </w:r>
    </w:p>
    <w:p>
      <w:pPr>
        <w:pStyle w:val="12"/>
        <w:numPr>
          <w:ilvl w:val="0"/>
          <w:numId w:val="1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常用教学方法的运用要求。</w:t>
      </w:r>
    </w:p>
    <w:p>
      <w:pPr>
        <w:pStyle w:val="12"/>
        <w:numPr>
          <w:ilvl w:val="0"/>
          <w:numId w:val="1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教学组织形式及其特点。</w:t>
      </w:r>
    </w:p>
    <w:p>
      <w:pPr>
        <w:pStyle w:val="12"/>
        <w:numPr>
          <w:ilvl w:val="0"/>
          <w:numId w:val="1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教学工作的基本环节。</w:t>
      </w:r>
    </w:p>
    <w:p>
      <w:pPr>
        <w:pStyle w:val="12"/>
        <w:numPr>
          <w:ilvl w:val="0"/>
          <w:numId w:val="1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教师教学工作评价的要求。</w:t>
      </w:r>
    </w:p>
    <w:p>
      <w:pPr>
        <w:pStyle w:val="12"/>
        <w:numPr>
          <w:ilvl w:val="0"/>
          <w:numId w:val="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德育</w:t>
      </w:r>
    </w:p>
    <w:p>
      <w:pPr>
        <w:pStyle w:val="12"/>
        <w:numPr>
          <w:ilvl w:val="0"/>
          <w:numId w:val="1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德育的含义。</w:t>
      </w:r>
    </w:p>
    <w:p>
      <w:pPr>
        <w:pStyle w:val="12"/>
        <w:numPr>
          <w:ilvl w:val="0"/>
          <w:numId w:val="1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中小学德育的主要任务。</w:t>
      </w:r>
    </w:p>
    <w:p>
      <w:pPr>
        <w:pStyle w:val="12"/>
        <w:numPr>
          <w:ilvl w:val="0"/>
          <w:numId w:val="1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品德的构成要素。</w:t>
      </w:r>
    </w:p>
    <w:p>
      <w:pPr>
        <w:pStyle w:val="12"/>
        <w:numPr>
          <w:ilvl w:val="0"/>
          <w:numId w:val="1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儿童品德发展的一般规律。</w:t>
      </w:r>
    </w:p>
    <w:p>
      <w:pPr>
        <w:pStyle w:val="12"/>
        <w:numPr>
          <w:ilvl w:val="0"/>
          <w:numId w:val="1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德育过程的基本规律。</w:t>
      </w:r>
    </w:p>
    <w:p>
      <w:pPr>
        <w:pStyle w:val="12"/>
        <w:numPr>
          <w:ilvl w:val="0"/>
          <w:numId w:val="1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中小学德育的主要原则。</w:t>
      </w:r>
    </w:p>
    <w:p>
      <w:pPr>
        <w:pStyle w:val="12"/>
        <w:numPr>
          <w:ilvl w:val="0"/>
          <w:numId w:val="1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中小学的主要德育途径。</w:t>
      </w:r>
    </w:p>
    <w:p>
      <w:pPr>
        <w:pStyle w:val="12"/>
        <w:numPr>
          <w:ilvl w:val="0"/>
          <w:numId w:val="1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常用的德育方法及其运用。</w:t>
      </w:r>
    </w:p>
    <w:p>
      <w:pPr>
        <w:pStyle w:val="12"/>
        <w:numPr>
          <w:ilvl w:val="0"/>
          <w:numId w:val="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班主任</w:t>
      </w:r>
    </w:p>
    <w:p>
      <w:pPr>
        <w:pStyle w:val="12"/>
        <w:numPr>
          <w:ilvl w:val="0"/>
          <w:numId w:val="12"/>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班主任的任务。</w:t>
      </w:r>
    </w:p>
    <w:p>
      <w:pPr>
        <w:pStyle w:val="12"/>
        <w:numPr>
          <w:ilvl w:val="0"/>
          <w:numId w:val="12"/>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班级群体的发展与培养。</w:t>
      </w:r>
    </w:p>
    <w:p>
      <w:pPr>
        <w:pStyle w:val="12"/>
        <w:numPr>
          <w:ilvl w:val="0"/>
          <w:numId w:val="12"/>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班级个别教育工作。</w:t>
      </w:r>
    </w:p>
    <w:p>
      <w:pPr>
        <w:pStyle w:val="12"/>
        <w:numPr>
          <w:ilvl w:val="0"/>
          <w:numId w:val="12"/>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班主任的工作内容和方法。</w:t>
      </w:r>
    </w:p>
    <w:p>
      <w:pPr>
        <w:pStyle w:val="12"/>
        <w:numPr>
          <w:ilvl w:val="0"/>
          <w:numId w:val="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教师</w:t>
      </w:r>
    </w:p>
    <w:p>
      <w:pPr>
        <w:pStyle w:val="12"/>
        <w:numPr>
          <w:ilvl w:val="0"/>
          <w:numId w:val="1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教师劳动的特点。</w:t>
      </w:r>
    </w:p>
    <w:p>
      <w:pPr>
        <w:pStyle w:val="12"/>
        <w:numPr>
          <w:ilvl w:val="0"/>
          <w:numId w:val="1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教师角色的构成。</w:t>
      </w:r>
    </w:p>
    <w:p>
      <w:pPr>
        <w:pStyle w:val="12"/>
        <w:numPr>
          <w:ilvl w:val="0"/>
          <w:numId w:val="1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教师素质及其培养。</w:t>
      </w:r>
    </w:p>
    <w:p>
      <w:pPr>
        <w:pStyle w:val="12"/>
        <w:spacing w:line="360" w:lineRule="auto"/>
        <w:ind w:left="432" w:firstLine="0" w:firstLineChars="0"/>
        <w:rPr>
          <w:rFonts w:hint="eastAsia" w:ascii="Times New Roman" w:hAnsi="Times New Roman" w:eastAsia="宋体" w:cs="宋体"/>
          <w:color w:val="000000" w:themeColor="text1"/>
          <w:sz w:val="24"/>
          <w:szCs w:val="24"/>
        </w:rPr>
      </w:pPr>
    </w:p>
    <w:p>
      <w:pPr>
        <w:spacing w:line="360" w:lineRule="auto"/>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考试题型：概念、简答、论述。</w:t>
      </w:r>
    </w:p>
    <w:p>
      <w:pPr>
        <w:spacing w:line="360" w:lineRule="auto"/>
        <w:rPr>
          <w:rFonts w:hint="eastAsia" w:ascii="Times New Roman" w:hAnsi="Times New Roman" w:eastAsia="宋体" w:cs="宋体"/>
          <w:color w:val="000000" w:themeColor="text1"/>
          <w:sz w:val="24"/>
          <w:szCs w:val="24"/>
        </w:rPr>
      </w:pPr>
    </w:p>
    <w:p>
      <w:pPr>
        <w:spacing w:line="360" w:lineRule="auto"/>
        <w:jc w:val="left"/>
        <w:rPr>
          <w:rFonts w:hint="eastAsia" w:ascii="Times New Roman" w:hAnsi="Times New Roman" w:eastAsia="宋体" w:cs="宋体"/>
          <w:b/>
          <w:color w:val="000000" w:themeColor="text1"/>
          <w:sz w:val="24"/>
          <w:szCs w:val="24"/>
        </w:rPr>
      </w:pPr>
      <w:r>
        <w:rPr>
          <w:rFonts w:hint="eastAsia" w:ascii="Times New Roman" w:hAnsi="Times New Roman" w:eastAsia="宋体" w:cs="宋体"/>
          <w:b/>
          <w:color w:val="000000" w:themeColor="text1"/>
          <w:sz w:val="24"/>
          <w:szCs w:val="24"/>
        </w:rPr>
        <w:t xml:space="preserve">《教育管理学（二）》科目 </w:t>
      </w:r>
    </w:p>
    <w:p>
      <w:pPr>
        <w:spacing w:line="360" w:lineRule="auto"/>
        <w:ind w:left="210" w:leftChars="100" w:firstLine="480" w:firstLineChars="20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考查目标：系统掌握教育管理学的基础知识、基本概念、基本理论和现代教育管理观念；理解教育管理活动的任务、过程、原则和方法；能运用教育管理的基本理论和理念来分析和解决教育管理中的现实问题。</w:t>
      </w:r>
    </w:p>
    <w:p>
      <w:pPr>
        <w:spacing w:line="360" w:lineRule="auto"/>
        <w:ind w:left="210" w:leftChars="100" w:firstLine="480" w:firstLineChars="20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考查内容：</w:t>
      </w:r>
    </w:p>
    <w:p>
      <w:pPr>
        <w:pStyle w:val="12"/>
        <w:numPr>
          <w:ilvl w:val="0"/>
          <w:numId w:val="1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教育管理学的性质与特点</w:t>
      </w:r>
    </w:p>
    <w:p>
      <w:pPr>
        <w:pStyle w:val="12"/>
        <w:numPr>
          <w:ilvl w:val="0"/>
          <w:numId w:val="15"/>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教育管理学的学科性质</w:t>
      </w:r>
    </w:p>
    <w:p>
      <w:pPr>
        <w:pStyle w:val="12"/>
        <w:numPr>
          <w:ilvl w:val="0"/>
          <w:numId w:val="15"/>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教育管理学的特点</w:t>
      </w:r>
    </w:p>
    <w:p>
      <w:pPr>
        <w:pStyle w:val="12"/>
        <w:numPr>
          <w:ilvl w:val="0"/>
          <w:numId w:val="15"/>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现代教育管理学产生的背景和条件</w:t>
      </w:r>
    </w:p>
    <w:p>
      <w:pPr>
        <w:pStyle w:val="12"/>
        <w:numPr>
          <w:ilvl w:val="0"/>
          <w:numId w:val="15"/>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教育管理学内容的三个层次</w:t>
      </w:r>
    </w:p>
    <w:p>
      <w:pPr>
        <w:pStyle w:val="12"/>
        <w:numPr>
          <w:ilvl w:val="0"/>
          <w:numId w:val="15"/>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教育管理学的教与学</w:t>
      </w:r>
    </w:p>
    <w:p>
      <w:pPr>
        <w:pStyle w:val="12"/>
        <w:numPr>
          <w:ilvl w:val="0"/>
          <w:numId w:val="1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现代教育管理的基本概念</w:t>
      </w:r>
    </w:p>
    <w:p>
      <w:pPr>
        <w:pStyle w:val="12"/>
        <w:numPr>
          <w:ilvl w:val="0"/>
          <w:numId w:val="16"/>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管理</w:t>
      </w:r>
    </w:p>
    <w:p>
      <w:pPr>
        <w:pStyle w:val="12"/>
        <w:numPr>
          <w:ilvl w:val="0"/>
          <w:numId w:val="16"/>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教育管理</w:t>
      </w:r>
    </w:p>
    <w:p>
      <w:pPr>
        <w:pStyle w:val="12"/>
        <w:numPr>
          <w:ilvl w:val="0"/>
          <w:numId w:val="16"/>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教育管理现代化</w:t>
      </w:r>
    </w:p>
    <w:p>
      <w:pPr>
        <w:pStyle w:val="12"/>
        <w:numPr>
          <w:ilvl w:val="0"/>
          <w:numId w:val="1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现代教育管理的理论基础及其流派</w:t>
      </w:r>
    </w:p>
    <w:p>
      <w:pPr>
        <w:pStyle w:val="12"/>
        <w:numPr>
          <w:ilvl w:val="0"/>
          <w:numId w:val="17"/>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理性化是现代教育管理的基本特点</w:t>
      </w:r>
    </w:p>
    <w:p>
      <w:pPr>
        <w:pStyle w:val="12"/>
        <w:numPr>
          <w:ilvl w:val="0"/>
          <w:numId w:val="17"/>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行政学、法学理论对现代教育管理理论的影响</w:t>
      </w:r>
    </w:p>
    <w:p>
      <w:pPr>
        <w:pStyle w:val="12"/>
        <w:numPr>
          <w:ilvl w:val="0"/>
          <w:numId w:val="17"/>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“科学管理”理论对教育管理的影响</w:t>
      </w:r>
    </w:p>
    <w:p>
      <w:pPr>
        <w:pStyle w:val="12"/>
        <w:numPr>
          <w:ilvl w:val="0"/>
          <w:numId w:val="17"/>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科层管理理论及其对教育管理的影响</w:t>
      </w:r>
    </w:p>
    <w:p>
      <w:pPr>
        <w:pStyle w:val="12"/>
        <w:numPr>
          <w:ilvl w:val="0"/>
          <w:numId w:val="17"/>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行为科学管理理论及其对教育管理的影响</w:t>
      </w:r>
    </w:p>
    <w:p>
      <w:pPr>
        <w:pStyle w:val="12"/>
        <w:numPr>
          <w:ilvl w:val="0"/>
          <w:numId w:val="17"/>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新公共管理理论对教育管理的影响</w:t>
      </w:r>
    </w:p>
    <w:p>
      <w:pPr>
        <w:pStyle w:val="12"/>
        <w:numPr>
          <w:ilvl w:val="0"/>
          <w:numId w:val="17"/>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行政伦理学的发展对教育管理的影响</w:t>
      </w:r>
    </w:p>
    <w:p>
      <w:pPr>
        <w:pStyle w:val="12"/>
        <w:numPr>
          <w:ilvl w:val="0"/>
          <w:numId w:val="1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教育行政体制</w:t>
      </w:r>
    </w:p>
    <w:p>
      <w:pPr>
        <w:pStyle w:val="12"/>
        <w:numPr>
          <w:ilvl w:val="0"/>
          <w:numId w:val="18"/>
        </w:numPr>
        <w:spacing w:line="360" w:lineRule="auto"/>
        <w:ind w:firstLineChars="0"/>
        <w:rPr>
          <w:rFonts w:hint="eastAsia" w:ascii="Times New Roman" w:hAnsi="Times New Roman" w:eastAsia="宋体" w:cs="宋体"/>
          <w:color w:val="000000" w:themeColor="text1"/>
          <w:sz w:val="24"/>
          <w:szCs w:val="24"/>
          <w:lang w:eastAsia="zh-TW"/>
        </w:rPr>
      </w:pPr>
      <w:r>
        <w:rPr>
          <w:rFonts w:hint="eastAsia" w:ascii="Times New Roman" w:hAnsi="Times New Roman" w:eastAsia="宋体" w:cs="宋体"/>
          <w:color w:val="000000" w:themeColor="text1"/>
          <w:sz w:val="24"/>
          <w:szCs w:val="24"/>
        </w:rPr>
        <w:t>教育行政体制及其类型</w:t>
      </w:r>
    </w:p>
    <w:p>
      <w:pPr>
        <w:pStyle w:val="12"/>
        <w:numPr>
          <w:ilvl w:val="0"/>
          <w:numId w:val="18"/>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我国的教育行政体制及其改革</w:t>
      </w:r>
    </w:p>
    <w:p>
      <w:pPr>
        <w:pStyle w:val="12"/>
        <w:numPr>
          <w:ilvl w:val="0"/>
          <w:numId w:val="18"/>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20世纪80年代以来外国教育行政体制改革</w:t>
      </w:r>
    </w:p>
    <w:p>
      <w:pPr>
        <w:pStyle w:val="12"/>
        <w:numPr>
          <w:ilvl w:val="0"/>
          <w:numId w:val="1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教育行政组织及教育行政机关工作人员</w:t>
      </w:r>
    </w:p>
    <w:p>
      <w:pPr>
        <w:pStyle w:val="12"/>
        <w:numPr>
          <w:ilvl w:val="0"/>
          <w:numId w:val="19"/>
        </w:numPr>
        <w:spacing w:line="360" w:lineRule="auto"/>
        <w:ind w:firstLineChars="0"/>
        <w:rPr>
          <w:rFonts w:hint="eastAsia" w:ascii="Times New Roman" w:hAnsi="Times New Roman" w:eastAsia="宋体" w:cs="宋体"/>
          <w:color w:val="000000" w:themeColor="text1"/>
          <w:sz w:val="24"/>
          <w:szCs w:val="24"/>
          <w:lang w:eastAsia="zh-TW"/>
        </w:rPr>
      </w:pPr>
      <w:r>
        <w:rPr>
          <w:rFonts w:hint="eastAsia" w:ascii="Times New Roman" w:hAnsi="Times New Roman" w:eastAsia="宋体" w:cs="宋体"/>
          <w:color w:val="000000" w:themeColor="text1"/>
          <w:sz w:val="24"/>
          <w:szCs w:val="24"/>
        </w:rPr>
        <w:t>教育行政组织及其职能</w:t>
      </w:r>
    </w:p>
    <w:p>
      <w:pPr>
        <w:pStyle w:val="12"/>
        <w:numPr>
          <w:ilvl w:val="0"/>
          <w:numId w:val="19"/>
        </w:numPr>
        <w:spacing w:line="360" w:lineRule="auto"/>
        <w:ind w:firstLineChars="0"/>
        <w:rPr>
          <w:rFonts w:hint="eastAsia" w:ascii="Times New Roman" w:hAnsi="Times New Roman" w:eastAsia="宋体" w:cs="宋体"/>
          <w:color w:val="000000" w:themeColor="text1"/>
          <w:sz w:val="24"/>
          <w:szCs w:val="24"/>
          <w:lang w:eastAsia="zh-TW"/>
        </w:rPr>
      </w:pPr>
      <w:r>
        <w:rPr>
          <w:rFonts w:hint="eastAsia" w:ascii="Times New Roman" w:hAnsi="Times New Roman" w:eastAsia="宋体" w:cs="宋体"/>
          <w:color w:val="000000" w:themeColor="text1"/>
          <w:sz w:val="24"/>
          <w:szCs w:val="24"/>
        </w:rPr>
        <w:t>教育行政机关工作人员</w:t>
      </w:r>
    </w:p>
    <w:p>
      <w:pPr>
        <w:pStyle w:val="12"/>
        <w:numPr>
          <w:ilvl w:val="0"/>
          <w:numId w:val="19"/>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提高教育行政组织的效率和效益</w:t>
      </w:r>
    </w:p>
    <w:p>
      <w:pPr>
        <w:pStyle w:val="12"/>
        <w:numPr>
          <w:ilvl w:val="0"/>
          <w:numId w:val="1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教育政策与法律</w:t>
      </w:r>
    </w:p>
    <w:p>
      <w:pPr>
        <w:pStyle w:val="12"/>
        <w:numPr>
          <w:ilvl w:val="0"/>
          <w:numId w:val="2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政策概述</w:t>
      </w:r>
    </w:p>
    <w:p>
      <w:pPr>
        <w:pStyle w:val="12"/>
        <w:numPr>
          <w:ilvl w:val="0"/>
          <w:numId w:val="2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教育政策</w:t>
      </w:r>
    </w:p>
    <w:p>
      <w:pPr>
        <w:pStyle w:val="12"/>
        <w:numPr>
          <w:ilvl w:val="0"/>
          <w:numId w:val="2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教育法与教育行政</w:t>
      </w:r>
    </w:p>
    <w:p>
      <w:pPr>
        <w:pStyle w:val="12"/>
        <w:numPr>
          <w:ilvl w:val="0"/>
          <w:numId w:val="2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教育法体系</w:t>
      </w:r>
    </w:p>
    <w:p>
      <w:pPr>
        <w:pStyle w:val="12"/>
        <w:numPr>
          <w:ilvl w:val="0"/>
          <w:numId w:val="2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教育法的制定与实施</w:t>
      </w:r>
    </w:p>
    <w:p>
      <w:pPr>
        <w:pStyle w:val="12"/>
        <w:numPr>
          <w:ilvl w:val="0"/>
          <w:numId w:val="2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教育改革、发展与教育法规建设</w:t>
      </w:r>
    </w:p>
    <w:p>
      <w:pPr>
        <w:pStyle w:val="12"/>
        <w:numPr>
          <w:ilvl w:val="0"/>
          <w:numId w:val="1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教育计划</w:t>
      </w:r>
    </w:p>
    <w:p>
      <w:pPr>
        <w:pStyle w:val="12"/>
        <w:numPr>
          <w:ilvl w:val="0"/>
          <w:numId w:val="2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教育计划</w:t>
      </w:r>
    </w:p>
    <w:p>
      <w:pPr>
        <w:pStyle w:val="12"/>
        <w:numPr>
          <w:ilvl w:val="0"/>
          <w:numId w:val="2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教育预测</w:t>
      </w:r>
    </w:p>
    <w:p>
      <w:pPr>
        <w:pStyle w:val="12"/>
        <w:numPr>
          <w:ilvl w:val="0"/>
          <w:numId w:val="2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教育计划的结构</w:t>
      </w:r>
    </w:p>
    <w:p>
      <w:pPr>
        <w:pStyle w:val="12"/>
        <w:numPr>
          <w:ilvl w:val="0"/>
          <w:numId w:val="2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教育计划的编制步骤及方法</w:t>
      </w:r>
    </w:p>
    <w:p>
      <w:pPr>
        <w:pStyle w:val="12"/>
        <w:numPr>
          <w:ilvl w:val="0"/>
          <w:numId w:val="1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教育督导</w:t>
      </w:r>
    </w:p>
    <w:p>
      <w:pPr>
        <w:pStyle w:val="12"/>
        <w:numPr>
          <w:ilvl w:val="0"/>
          <w:numId w:val="22"/>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教育督导的意义</w:t>
      </w:r>
    </w:p>
    <w:p>
      <w:pPr>
        <w:pStyle w:val="12"/>
        <w:numPr>
          <w:ilvl w:val="0"/>
          <w:numId w:val="22"/>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教育督导的基本职能与具体任务</w:t>
      </w:r>
    </w:p>
    <w:p>
      <w:pPr>
        <w:pStyle w:val="12"/>
        <w:numPr>
          <w:ilvl w:val="0"/>
          <w:numId w:val="22"/>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教育督导机构与人员</w:t>
      </w:r>
    </w:p>
    <w:p>
      <w:pPr>
        <w:pStyle w:val="12"/>
        <w:numPr>
          <w:ilvl w:val="0"/>
          <w:numId w:val="22"/>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教育督导评估</w:t>
      </w:r>
    </w:p>
    <w:p>
      <w:pPr>
        <w:pStyle w:val="12"/>
        <w:numPr>
          <w:ilvl w:val="0"/>
          <w:numId w:val="1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教育财政</w:t>
      </w:r>
    </w:p>
    <w:p>
      <w:pPr>
        <w:pStyle w:val="12"/>
        <w:numPr>
          <w:ilvl w:val="0"/>
          <w:numId w:val="2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教育财政概述</w:t>
      </w:r>
    </w:p>
    <w:p>
      <w:pPr>
        <w:pStyle w:val="12"/>
        <w:numPr>
          <w:ilvl w:val="0"/>
          <w:numId w:val="2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教育财政体制</w:t>
      </w:r>
    </w:p>
    <w:p>
      <w:pPr>
        <w:pStyle w:val="12"/>
        <w:numPr>
          <w:ilvl w:val="0"/>
          <w:numId w:val="2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教育筹资</w:t>
      </w:r>
    </w:p>
    <w:p>
      <w:pPr>
        <w:pStyle w:val="12"/>
        <w:numPr>
          <w:ilvl w:val="0"/>
          <w:numId w:val="2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教育支出</w:t>
      </w:r>
    </w:p>
    <w:p>
      <w:pPr>
        <w:pStyle w:val="12"/>
        <w:numPr>
          <w:ilvl w:val="0"/>
          <w:numId w:val="1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教育课程行政</w:t>
      </w:r>
    </w:p>
    <w:p>
      <w:pPr>
        <w:pStyle w:val="12"/>
        <w:numPr>
          <w:ilvl w:val="0"/>
          <w:numId w:val="2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教育课程的涵义及编订权</w:t>
      </w:r>
    </w:p>
    <w:p>
      <w:pPr>
        <w:pStyle w:val="12"/>
        <w:numPr>
          <w:ilvl w:val="0"/>
          <w:numId w:val="2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教育课程的内容构成</w:t>
      </w:r>
    </w:p>
    <w:p>
      <w:pPr>
        <w:pStyle w:val="12"/>
        <w:numPr>
          <w:ilvl w:val="0"/>
          <w:numId w:val="24"/>
        </w:numPr>
        <w:spacing w:line="360" w:lineRule="auto"/>
        <w:ind w:firstLineChars="0"/>
        <w:rPr>
          <w:rFonts w:hint="eastAsia" w:ascii="Times New Roman" w:hAnsi="Times New Roman" w:eastAsia="宋体" w:cs="宋体"/>
          <w:color w:val="000000" w:themeColor="text1"/>
          <w:sz w:val="24"/>
          <w:szCs w:val="24"/>
          <w:lang w:eastAsia="zh-TW"/>
        </w:rPr>
      </w:pPr>
      <w:r>
        <w:rPr>
          <w:rFonts w:hint="eastAsia" w:ascii="Times New Roman" w:hAnsi="Times New Roman" w:eastAsia="宋体" w:cs="宋体"/>
          <w:color w:val="000000" w:themeColor="text1"/>
          <w:sz w:val="24"/>
          <w:szCs w:val="24"/>
        </w:rPr>
        <w:t>教育课程实施的指导</w:t>
      </w:r>
    </w:p>
    <w:p>
      <w:pPr>
        <w:pStyle w:val="12"/>
        <w:numPr>
          <w:ilvl w:val="0"/>
          <w:numId w:val="1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教师人事行政</w:t>
      </w:r>
    </w:p>
    <w:p>
      <w:pPr>
        <w:pStyle w:val="12"/>
        <w:numPr>
          <w:ilvl w:val="0"/>
          <w:numId w:val="25"/>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教师人事行政的涵义与意义</w:t>
      </w:r>
    </w:p>
    <w:p>
      <w:pPr>
        <w:pStyle w:val="12"/>
        <w:numPr>
          <w:ilvl w:val="0"/>
          <w:numId w:val="25"/>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教师职业的专业性</w:t>
      </w:r>
    </w:p>
    <w:p>
      <w:pPr>
        <w:pStyle w:val="12"/>
        <w:numPr>
          <w:ilvl w:val="0"/>
          <w:numId w:val="25"/>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教师的任用</w:t>
      </w:r>
    </w:p>
    <w:p>
      <w:pPr>
        <w:pStyle w:val="12"/>
        <w:numPr>
          <w:ilvl w:val="0"/>
          <w:numId w:val="25"/>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教师的在职培训</w:t>
      </w:r>
    </w:p>
    <w:p>
      <w:pPr>
        <w:pStyle w:val="12"/>
        <w:numPr>
          <w:ilvl w:val="0"/>
          <w:numId w:val="25"/>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教师的工资</w:t>
      </w:r>
    </w:p>
    <w:p>
      <w:pPr>
        <w:pStyle w:val="12"/>
        <w:numPr>
          <w:ilvl w:val="0"/>
          <w:numId w:val="25"/>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教师考核制度</w:t>
      </w:r>
    </w:p>
    <w:p>
      <w:pPr>
        <w:pStyle w:val="12"/>
        <w:numPr>
          <w:ilvl w:val="0"/>
          <w:numId w:val="1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教育信息的管理与公开</w:t>
      </w:r>
    </w:p>
    <w:p>
      <w:pPr>
        <w:pStyle w:val="12"/>
        <w:numPr>
          <w:ilvl w:val="0"/>
          <w:numId w:val="26"/>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教育信息及其分类</w:t>
      </w:r>
    </w:p>
    <w:p>
      <w:pPr>
        <w:pStyle w:val="12"/>
        <w:numPr>
          <w:ilvl w:val="0"/>
          <w:numId w:val="26"/>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教育信息管理职能</w:t>
      </w:r>
    </w:p>
    <w:p>
      <w:pPr>
        <w:pStyle w:val="12"/>
        <w:numPr>
          <w:ilvl w:val="0"/>
          <w:numId w:val="26"/>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教育信息公开</w:t>
      </w:r>
    </w:p>
    <w:p>
      <w:pPr>
        <w:pStyle w:val="12"/>
        <w:numPr>
          <w:ilvl w:val="0"/>
          <w:numId w:val="1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学校效能与学校改进</w:t>
      </w:r>
    </w:p>
    <w:p>
      <w:pPr>
        <w:pStyle w:val="12"/>
        <w:numPr>
          <w:ilvl w:val="0"/>
          <w:numId w:val="27"/>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学校效能概述</w:t>
      </w:r>
    </w:p>
    <w:p>
      <w:pPr>
        <w:pStyle w:val="12"/>
        <w:numPr>
          <w:ilvl w:val="0"/>
          <w:numId w:val="27"/>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学校效能的测量</w:t>
      </w:r>
    </w:p>
    <w:p>
      <w:pPr>
        <w:pStyle w:val="12"/>
        <w:numPr>
          <w:ilvl w:val="0"/>
          <w:numId w:val="1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教育管理过程</w:t>
      </w:r>
    </w:p>
    <w:p>
      <w:pPr>
        <w:pStyle w:val="12"/>
        <w:numPr>
          <w:ilvl w:val="0"/>
          <w:numId w:val="28"/>
        </w:numPr>
        <w:spacing w:line="360" w:lineRule="auto"/>
        <w:ind w:firstLineChars="0"/>
        <w:rPr>
          <w:rFonts w:hint="eastAsia" w:ascii="Times New Roman" w:hAnsi="Times New Roman" w:eastAsia="宋体" w:cs="宋体"/>
          <w:color w:val="000000" w:themeColor="text1"/>
          <w:sz w:val="24"/>
          <w:szCs w:val="24"/>
          <w:lang w:eastAsia="zh-TW"/>
        </w:rPr>
      </w:pPr>
      <w:r>
        <w:rPr>
          <w:rFonts w:hint="eastAsia" w:ascii="Times New Roman" w:hAnsi="Times New Roman" w:eastAsia="宋体" w:cs="宋体"/>
          <w:color w:val="000000" w:themeColor="text1"/>
          <w:sz w:val="24"/>
          <w:szCs w:val="24"/>
        </w:rPr>
        <w:t>管理过程概述</w:t>
      </w:r>
    </w:p>
    <w:p>
      <w:pPr>
        <w:pStyle w:val="12"/>
        <w:numPr>
          <w:ilvl w:val="0"/>
          <w:numId w:val="28"/>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学校工作决策与计划的制订</w:t>
      </w:r>
    </w:p>
    <w:p>
      <w:pPr>
        <w:pStyle w:val="12"/>
        <w:numPr>
          <w:ilvl w:val="0"/>
          <w:numId w:val="28"/>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学校发展战略规划</w:t>
      </w:r>
    </w:p>
    <w:p>
      <w:pPr>
        <w:pStyle w:val="12"/>
        <w:numPr>
          <w:ilvl w:val="0"/>
          <w:numId w:val="28"/>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学校计划执行阶段的管理</w:t>
      </w:r>
    </w:p>
    <w:p>
      <w:pPr>
        <w:pStyle w:val="12"/>
        <w:numPr>
          <w:ilvl w:val="0"/>
          <w:numId w:val="28"/>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学校的目标管理</w:t>
      </w:r>
    </w:p>
    <w:p>
      <w:pPr>
        <w:pStyle w:val="12"/>
        <w:numPr>
          <w:ilvl w:val="0"/>
          <w:numId w:val="1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学校组织管理</w:t>
      </w:r>
    </w:p>
    <w:p>
      <w:pPr>
        <w:pStyle w:val="12"/>
        <w:numPr>
          <w:ilvl w:val="0"/>
          <w:numId w:val="29"/>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组织概述</w:t>
      </w:r>
    </w:p>
    <w:p>
      <w:pPr>
        <w:pStyle w:val="12"/>
        <w:numPr>
          <w:ilvl w:val="0"/>
          <w:numId w:val="29"/>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组织理论的发展</w:t>
      </w:r>
    </w:p>
    <w:p>
      <w:pPr>
        <w:pStyle w:val="12"/>
        <w:numPr>
          <w:ilvl w:val="0"/>
          <w:numId w:val="29"/>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组织结构</w:t>
      </w:r>
    </w:p>
    <w:p>
      <w:pPr>
        <w:pStyle w:val="12"/>
        <w:numPr>
          <w:ilvl w:val="0"/>
          <w:numId w:val="29"/>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学校组织建设</w:t>
      </w:r>
    </w:p>
    <w:p>
      <w:pPr>
        <w:pStyle w:val="12"/>
        <w:numPr>
          <w:ilvl w:val="0"/>
          <w:numId w:val="1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学校质量管理</w:t>
      </w:r>
    </w:p>
    <w:p>
      <w:pPr>
        <w:pStyle w:val="12"/>
        <w:numPr>
          <w:ilvl w:val="0"/>
          <w:numId w:val="3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学校工作质量管理概述</w:t>
      </w:r>
    </w:p>
    <w:p>
      <w:pPr>
        <w:pStyle w:val="12"/>
        <w:numPr>
          <w:ilvl w:val="0"/>
          <w:numId w:val="3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学校的全面质量管理</w:t>
      </w:r>
    </w:p>
    <w:p>
      <w:pPr>
        <w:pStyle w:val="12"/>
        <w:numPr>
          <w:ilvl w:val="0"/>
          <w:numId w:val="3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学校工作的质量评价</w:t>
      </w:r>
    </w:p>
    <w:p>
      <w:pPr>
        <w:pStyle w:val="12"/>
        <w:numPr>
          <w:ilvl w:val="0"/>
          <w:numId w:val="30"/>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学校工作的质量控制</w:t>
      </w:r>
    </w:p>
    <w:p>
      <w:pPr>
        <w:pStyle w:val="12"/>
        <w:numPr>
          <w:ilvl w:val="0"/>
          <w:numId w:val="1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学校建筑管理</w:t>
      </w:r>
    </w:p>
    <w:p>
      <w:pPr>
        <w:pStyle w:val="12"/>
        <w:numPr>
          <w:ilvl w:val="0"/>
          <w:numId w:val="3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学校建筑管理概述</w:t>
      </w:r>
    </w:p>
    <w:p>
      <w:pPr>
        <w:pStyle w:val="12"/>
        <w:numPr>
          <w:ilvl w:val="0"/>
          <w:numId w:val="3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学校建筑管理的理论基础</w:t>
      </w:r>
    </w:p>
    <w:p>
      <w:pPr>
        <w:pStyle w:val="12"/>
        <w:numPr>
          <w:ilvl w:val="0"/>
          <w:numId w:val="3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学校建筑计划和校园建筑规划</w:t>
      </w:r>
    </w:p>
    <w:p>
      <w:pPr>
        <w:pStyle w:val="12"/>
        <w:numPr>
          <w:ilvl w:val="0"/>
          <w:numId w:val="3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学校教室的建设</w:t>
      </w:r>
    </w:p>
    <w:p>
      <w:pPr>
        <w:pStyle w:val="12"/>
        <w:numPr>
          <w:ilvl w:val="0"/>
          <w:numId w:val="31"/>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学校重要附属建筑</w:t>
      </w:r>
    </w:p>
    <w:p>
      <w:pPr>
        <w:pStyle w:val="12"/>
        <w:numPr>
          <w:ilvl w:val="0"/>
          <w:numId w:val="1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学校公共关系管理</w:t>
      </w:r>
    </w:p>
    <w:p>
      <w:pPr>
        <w:pStyle w:val="12"/>
        <w:numPr>
          <w:ilvl w:val="0"/>
          <w:numId w:val="32"/>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学校公共关系及其管理</w:t>
      </w:r>
    </w:p>
    <w:p>
      <w:pPr>
        <w:pStyle w:val="12"/>
        <w:numPr>
          <w:ilvl w:val="0"/>
          <w:numId w:val="32"/>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学校公共关系管理过程</w:t>
      </w:r>
    </w:p>
    <w:p>
      <w:pPr>
        <w:pStyle w:val="12"/>
        <w:numPr>
          <w:ilvl w:val="0"/>
          <w:numId w:val="32"/>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学校公共关系管理对象</w:t>
      </w:r>
    </w:p>
    <w:p>
      <w:pPr>
        <w:pStyle w:val="12"/>
        <w:numPr>
          <w:ilvl w:val="0"/>
          <w:numId w:val="14"/>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学校领导</w:t>
      </w:r>
    </w:p>
    <w:p>
      <w:pPr>
        <w:pStyle w:val="12"/>
        <w:numPr>
          <w:ilvl w:val="0"/>
          <w:numId w:val="3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领导概述</w:t>
      </w:r>
    </w:p>
    <w:p>
      <w:pPr>
        <w:pStyle w:val="12"/>
        <w:numPr>
          <w:ilvl w:val="0"/>
          <w:numId w:val="3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学校领导者</w:t>
      </w:r>
    </w:p>
    <w:p>
      <w:pPr>
        <w:pStyle w:val="12"/>
        <w:numPr>
          <w:ilvl w:val="0"/>
          <w:numId w:val="3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领导方式与领导的有效性</w:t>
      </w:r>
    </w:p>
    <w:p>
      <w:pPr>
        <w:pStyle w:val="12"/>
        <w:numPr>
          <w:ilvl w:val="0"/>
          <w:numId w:val="33"/>
        </w:numPr>
        <w:spacing w:line="360" w:lineRule="auto"/>
        <w:ind w:firstLineChars="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学校领导班子的基本素质</w:t>
      </w:r>
    </w:p>
    <w:p>
      <w:pPr>
        <w:pStyle w:val="12"/>
        <w:numPr>
          <w:ilvl w:val="0"/>
          <w:numId w:val="0"/>
        </w:numPr>
        <w:spacing w:line="360" w:lineRule="auto"/>
        <w:ind w:left="420" w:leftChars="0"/>
        <w:rPr>
          <w:rFonts w:hint="eastAsia" w:ascii="Times New Roman" w:hAnsi="Times New Roman" w:eastAsia="宋体" w:cs="宋体"/>
          <w:color w:val="000000" w:themeColor="text1"/>
          <w:sz w:val="24"/>
          <w:szCs w:val="24"/>
        </w:rPr>
      </w:pPr>
    </w:p>
    <w:p>
      <w:pPr>
        <w:spacing w:line="360" w:lineRule="auto"/>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考试题型：概念、简答、论述。</w:t>
      </w:r>
    </w:p>
    <w:p>
      <w:pPr>
        <w:pStyle w:val="12"/>
        <w:widowControl w:val="0"/>
        <w:numPr>
          <w:ilvl w:val="0"/>
          <w:numId w:val="0"/>
        </w:numPr>
        <w:spacing w:line="360" w:lineRule="auto"/>
        <w:jc w:val="both"/>
        <w:rPr>
          <w:rFonts w:hint="eastAsia" w:ascii="Times New Roman" w:hAnsi="Times New Roman" w:eastAsia="宋体" w:cs="宋体"/>
          <w:color w:val="000000" w:themeColor="text1"/>
          <w:sz w:val="24"/>
          <w:szCs w:val="24"/>
        </w:rPr>
      </w:pPr>
    </w:p>
    <w:p>
      <w:pPr>
        <w:spacing w:line="360" w:lineRule="auto"/>
        <w:rPr>
          <w:rFonts w:hint="eastAsia" w:ascii="Times New Roman" w:hAnsi="Times New Roman" w:eastAsia="宋体" w:cs="宋体"/>
          <w:sz w:val="24"/>
          <w:szCs w:val="24"/>
        </w:rPr>
      </w:pPr>
    </w:p>
    <w:p>
      <w:pPr>
        <w:spacing w:line="360" w:lineRule="auto"/>
        <w:rPr>
          <w:rFonts w:hint="eastAsia" w:ascii="Times New Roman" w:hAnsi="Times New Roman" w:eastAsia="宋体" w:cs="宋体"/>
          <w:b/>
          <w:color w:val="0000FF"/>
          <w:kern w:val="0"/>
          <w:sz w:val="24"/>
          <w:szCs w:val="24"/>
        </w:rPr>
      </w:pPr>
      <w:r>
        <w:rPr>
          <w:rFonts w:hint="eastAsia" w:ascii="Times New Roman" w:hAnsi="Times New Roman" w:eastAsia="宋体" w:cs="宋体"/>
          <w:b/>
          <w:color w:val="0000FF"/>
          <w:kern w:val="0"/>
          <w:sz w:val="24"/>
          <w:szCs w:val="24"/>
        </w:rPr>
        <w:t>120404 社会保障</w:t>
      </w:r>
    </w:p>
    <w:p>
      <w:pPr>
        <w:widowControl/>
        <w:spacing w:line="360" w:lineRule="auto"/>
        <w:ind w:firstLine="480" w:firstLineChars="200"/>
        <w:jc w:val="left"/>
        <w:rPr>
          <w:rFonts w:hint="eastAsia" w:ascii="Times New Roman" w:hAnsi="Times New Roman" w:eastAsia="宋体" w:cs="宋体"/>
          <w:bCs/>
          <w:color w:val="000000" w:themeColor="text1"/>
          <w:kern w:val="0"/>
          <w:sz w:val="24"/>
          <w:szCs w:val="24"/>
        </w:rPr>
      </w:pPr>
      <w:r>
        <w:rPr>
          <w:rFonts w:hint="eastAsia" w:ascii="Times New Roman" w:hAnsi="Times New Roman" w:eastAsia="宋体" w:cs="宋体"/>
          <w:bCs/>
          <w:color w:val="000000" w:themeColor="text1"/>
          <w:kern w:val="0"/>
          <w:sz w:val="24"/>
          <w:szCs w:val="24"/>
        </w:rPr>
        <w:t>华南师范大学政治与公共管理学院社会保障专业目前共有博士生导师2名。本专业注重培养学生对中国以及全球劳动就业、社会保险、社会政策、社会福利等方面的问题分析和理论研究意识，提倡严谨扎实的学风，注重培养学生在社会保障问题的研究过程中提出问题、分析问题和解决问题，将理论与实践相互结合的能力。本专业的招生与培养适应范围较为广泛，博士生毕业后不仅适合从事与本专业相关的教学科研工作，而且适合从事政府部门或第三部门的人事管理和社会保障等工作。</w:t>
      </w:r>
    </w:p>
    <w:p>
      <w:pPr>
        <w:widowControl/>
        <w:spacing w:line="360" w:lineRule="auto"/>
        <w:ind w:firstLine="480" w:firstLineChars="200"/>
        <w:jc w:val="left"/>
        <w:rPr>
          <w:rFonts w:hint="eastAsia" w:ascii="Times New Roman" w:hAnsi="Times New Roman" w:eastAsia="宋体" w:cs="宋体"/>
          <w:bCs/>
          <w:color w:val="000000" w:themeColor="text1"/>
          <w:kern w:val="0"/>
          <w:sz w:val="24"/>
          <w:szCs w:val="24"/>
        </w:rPr>
      </w:pPr>
    </w:p>
    <w:p>
      <w:pPr>
        <w:spacing w:after="120" w:line="360" w:lineRule="auto"/>
        <w:rPr>
          <w:rFonts w:hint="eastAsia" w:ascii="Times New Roman" w:hAnsi="Times New Roman" w:eastAsia="宋体" w:cs="宋体"/>
          <w:b/>
          <w:color w:val="000000" w:themeColor="text1"/>
          <w:sz w:val="24"/>
          <w:szCs w:val="24"/>
        </w:rPr>
      </w:pPr>
      <w:r>
        <w:rPr>
          <w:rFonts w:hint="eastAsia" w:ascii="Times New Roman" w:hAnsi="Times New Roman" w:eastAsia="宋体" w:cs="宋体"/>
          <w:b/>
          <w:color w:val="000000" w:themeColor="text1"/>
          <w:sz w:val="24"/>
          <w:szCs w:val="24"/>
        </w:rPr>
        <w:t>考试大纲：</w:t>
      </w:r>
    </w:p>
    <w:p>
      <w:pPr>
        <w:spacing w:line="360" w:lineRule="auto"/>
        <w:rPr>
          <w:rFonts w:hint="eastAsia" w:ascii="Times New Roman" w:hAnsi="Times New Roman" w:eastAsia="宋体" w:cs="宋体"/>
          <w:b/>
          <w:color w:val="000000" w:themeColor="text1"/>
          <w:sz w:val="24"/>
          <w:szCs w:val="24"/>
        </w:rPr>
      </w:pPr>
      <w:r>
        <w:rPr>
          <w:rFonts w:hint="eastAsia" w:ascii="Times New Roman" w:hAnsi="Times New Roman" w:eastAsia="宋体" w:cs="宋体"/>
          <w:b/>
          <w:color w:val="000000" w:themeColor="text1"/>
          <w:sz w:val="24"/>
          <w:szCs w:val="24"/>
        </w:rPr>
        <w:t>科目一：《公共管理学》</w:t>
      </w:r>
    </w:p>
    <w:p>
      <w:pPr>
        <w:spacing w:line="360" w:lineRule="auto"/>
        <w:ind w:left="210" w:leftChars="100" w:firstLine="480" w:firstLineChars="20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考查目标：系统掌握公共管理学的基础知识、基本概念、基本理论以及发展历程；理解政府行政管理和公共政策的任务、过程、原则和方法；能运用公共管理学的基本理论来分析和解决公共部门和公共治理中的现实、前沿问题。</w:t>
      </w:r>
    </w:p>
    <w:p>
      <w:pPr>
        <w:spacing w:line="360" w:lineRule="auto"/>
        <w:ind w:left="210" w:leftChars="100" w:firstLine="240" w:firstLineChars="100"/>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考查内容：</w:t>
      </w:r>
    </w:p>
    <w:p>
      <w:pPr>
        <w:pStyle w:val="12"/>
        <w:numPr>
          <w:ilvl w:val="0"/>
          <w:numId w:val="34"/>
        </w:numPr>
        <w:spacing w:line="360" w:lineRule="auto"/>
        <w:ind w:firstLineChars="0"/>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公共管理学的发展历史</w:t>
      </w:r>
    </w:p>
    <w:p>
      <w:pPr>
        <w:pStyle w:val="12"/>
        <w:numPr>
          <w:ilvl w:val="0"/>
          <w:numId w:val="34"/>
        </w:numPr>
        <w:spacing w:line="360" w:lineRule="auto"/>
        <w:ind w:firstLineChars="0"/>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公共管理学（行政管理学）的主要理论</w:t>
      </w:r>
    </w:p>
    <w:p>
      <w:pPr>
        <w:pStyle w:val="12"/>
        <w:numPr>
          <w:ilvl w:val="0"/>
          <w:numId w:val="34"/>
        </w:numPr>
        <w:spacing w:line="360" w:lineRule="auto"/>
        <w:ind w:firstLineChars="0"/>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公共管理的环境、职能、目标与责任</w:t>
      </w:r>
    </w:p>
    <w:p>
      <w:pPr>
        <w:pStyle w:val="12"/>
        <w:numPr>
          <w:ilvl w:val="0"/>
          <w:numId w:val="34"/>
        </w:numPr>
        <w:spacing w:line="360" w:lineRule="auto"/>
        <w:ind w:firstLineChars="0"/>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公共组织（政府）的特征、运行与治理</w:t>
      </w:r>
    </w:p>
    <w:p>
      <w:pPr>
        <w:pStyle w:val="12"/>
        <w:numPr>
          <w:ilvl w:val="0"/>
          <w:numId w:val="34"/>
        </w:numPr>
        <w:spacing w:line="360" w:lineRule="auto"/>
        <w:ind w:firstLineChars="0"/>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公共政策的设计、执行与评估</w:t>
      </w:r>
    </w:p>
    <w:p>
      <w:pPr>
        <w:pStyle w:val="12"/>
        <w:numPr>
          <w:ilvl w:val="0"/>
          <w:numId w:val="34"/>
        </w:numPr>
        <w:spacing w:line="360" w:lineRule="auto"/>
        <w:ind w:firstLineChars="0"/>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公共部门的人事管理与绩效管理</w:t>
      </w:r>
    </w:p>
    <w:p>
      <w:pPr>
        <w:pStyle w:val="12"/>
        <w:numPr>
          <w:ilvl w:val="0"/>
          <w:numId w:val="34"/>
        </w:numPr>
        <w:spacing w:line="360" w:lineRule="auto"/>
        <w:ind w:firstLineChars="0"/>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公共财政与预算管理</w:t>
      </w:r>
    </w:p>
    <w:p>
      <w:pPr>
        <w:pStyle w:val="12"/>
        <w:numPr>
          <w:ilvl w:val="0"/>
          <w:numId w:val="34"/>
        </w:numPr>
        <w:spacing w:line="360" w:lineRule="auto"/>
        <w:ind w:firstLineChars="0"/>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公共危机应对与管理</w:t>
      </w:r>
    </w:p>
    <w:p>
      <w:pPr>
        <w:pStyle w:val="12"/>
        <w:numPr>
          <w:ilvl w:val="0"/>
          <w:numId w:val="34"/>
        </w:numPr>
        <w:spacing w:line="360" w:lineRule="auto"/>
        <w:ind w:firstLineChars="0"/>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社会组织管理与社会治理创新</w:t>
      </w:r>
    </w:p>
    <w:p>
      <w:pPr>
        <w:pStyle w:val="12"/>
        <w:numPr>
          <w:ilvl w:val="0"/>
          <w:numId w:val="34"/>
        </w:numPr>
        <w:spacing w:line="360" w:lineRule="auto"/>
        <w:ind w:firstLineChars="0"/>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公共管理的伦理、监督与法制</w:t>
      </w:r>
    </w:p>
    <w:p>
      <w:pPr>
        <w:pStyle w:val="12"/>
        <w:numPr>
          <w:ilvl w:val="0"/>
          <w:numId w:val="34"/>
        </w:numPr>
        <w:spacing w:line="360" w:lineRule="auto"/>
        <w:ind w:firstLineChars="0"/>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中国公共管理（行政管理）的前沿问题</w:t>
      </w:r>
    </w:p>
    <w:p>
      <w:pPr>
        <w:widowControl/>
        <w:spacing w:line="360" w:lineRule="auto"/>
        <w:jc w:val="left"/>
        <w:rPr>
          <w:rFonts w:hint="eastAsia" w:ascii="Times New Roman" w:hAnsi="Times New Roman" w:eastAsia="宋体" w:cs="宋体"/>
          <w:b/>
          <w:color w:val="000000" w:themeColor="text1"/>
          <w:sz w:val="24"/>
          <w:szCs w:val="24"/>
        </w:rPr>
      </w:pPr>
      <w:r>
        <w:rPr>
          <w:rFonts w:hint="eastAsia" w:ascii="Times New Roman" w:hAnsi="Times New Roman" w:eastAsia="宋体" w:cs="宋体"/>
          <w:b/>
          <w:bCs/>
          <w:color w:val="000000" w:themeColor="text1"/>
          <w:kern w:val="0"/>
          <w:sz w:val="24"/>
          <w:szCs w:val="24"/>
        </w:rPr>
        <w:t>科目二：《社会保障理论》</w:t>
      </w:r>
    </w:p>
    <w:p>
      <w:pPr>
        <w:widowControl/>
        <w:spacing w:line="360" w:lineRule="auto"/>
        <w:ind w:left="210" w:leftChars="100" w:firstLine="480" w:firstLineChars="200"/>
        <w:jc w:val="left"/>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考查目标：系统掌握社会保障的基本概念和基本理论；理解社会保障的职能、目标、体制和运行过程；能运用社会保障的基本理论来分析和解决当前中国社会保障领域面临的前沿问题。</w:t>
      </w:r>
    </w:p>
    <w:p>
      <w:pPr>
        <w:widowControl/>
        <w:spacing w:line="360" w:lineRule="auto"/>
        <w:ind w:firstLine="720" w:firstLineChars="300"/>
        <w:jc w:val="left"/>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t>考查内容：</w:t>
      </w:r>
    </w:p>
    <w:p>
      <w:pPr>
        <w:pStyle w:val="12"/>
        <w:widowControl/>
        <w:numPr>
          <w:ilvl w:val="0"/>
          <w:numId w:val="35"/>
        </w:numPr>
        <w:shd w:val="clear" w:color="auto" w:fill="FFFFFF"/>
        <w:spacing w:after="225" w:line="360" w:lineRule="auto"/>
        <w:ind w:firstLineChars="0"/>
        <w:jc w:val="left"/>
        <w:rPr>
          <w:rFonts w:hint="eastAsia" w:ascii="Times New Roman" w:hAnsi="Times New Roman" w:eastAsia="宋体" w:cs="宋体"/>
          <w:color w:val="auto"/>
          <w:kern w:val="0"/>
          <w:sz w:val="24"/>
          <w:szCs w:val="24"/>
        </w:rPr>
      </w:pPr>
      <w:r>
        <w:rPr>
          <w:rFonts w:hint="eastAsia" w:ascii="Times New Roman" w:hAnsi="Times New Roman" w:eastAsia="宋体" w:cs="宋体"/>
          <w:color w:val="auto"/>
          <w:kern w:val="0"/>
          <w:sz w:val="24"/>
          <w:szCs w:val="24"/>
        </w:rPr>
        <w:t>现代社会保障和社会政策的发展历史</w:t>
      </w:r>
    </w:p>
    <w:p>
      <w:pPr>
        <w:pStyle w:val="12"/>
        <w:widowControl/>
        <w:numPr>
          <w:ilvl w:val="0"/>
          <w:numId w:val="35"/>
        </w:numPr>
        <w:shd w:val="clear" w:color="auto" w:fill="FFFFFF"/>
        <w:spacing w:after="225" w:line="360" w:lineRule="auto"/>
        <w:ind w:firstLineChars="0"/>
        <w:jc w:val="left"/>
        <w:rPr>
          <w:rFonts w:hint="eastAsia" w:ascii="Times New Roman" w:hAnsi="Times New Roman" w:eastAsia="宋体" w:cs="宋体"/>
          <w:color w:val="auto"/>
          <w:kern w:val="0"/>
          <w:sz w:val="24"/>
          <w:szCs w:val="24"/>
        </w:rPr>
      </w:pPr>
      <w:r>
        <w:rPr>
          <w:rFonts w:hint="eastAsia" w:ascii="Times New Roman" w:hAnsi="Times New Roman" w:eastAsia="宋体" w:cs="宋体"/>
          <w:color w:val="auto"/>
          <w:kern w:val="0"/>
          <w:sz w:val="24"/>
          <w:szCs w:val="24"/>
        </w:rPr>
        <w:t>社会保障与社会政策的主要思想、理论与流派</w:t>
      </w:r>
    </w:p>
    <w:p>
      <w:pPr>
        <w:pStyle w:val="12"/>
        <w:widowControl/>
        <w:numPr>
          <w:ilvl w:val="0"/>
          <w:numId w:val="35"/>
        </w:numPr>
        <w:shd w:val="clear" w:color="auto" w:fill="FFFFFF"/>
        <w:spacing w:after="225" w:line="360" w:lineRule="auto"/>
        <w:ind w:firstLineChars="0"/>
        <w:jc w:val="left"/>
        <w:rPr>
          <w:rFonts w:hint="eastAsia" w:ascii="Times New Roman" w:hAnsi="Times New Roman" w:eastAsia="宋体" w:cs="宋体"/>
          <w:color w:val="auto"/>
          <w:kern w:val="0"/>
          <w:sz w:val="24"/>
          <w:szCs w:val="24"/>
        </w:rPr>
      </w:pPr>
      <w:r>
        <w:rPr>
          <w:rFonts w:hint="eastAsia" w:ascii="Times New Roman" w:hAnsi="Times New Roman" w:eastAsia="宋体" w:cs="宋体"/>
          <w:color w:val="auto"/>
          <w:kern w:val="0"/>
          <w:sz w:val="24"/>
          <w:szCs w:val="24"/>
        </w:rPr>
        <w:t>中国的社会保障制度与社会政策的发展历程</w:t>
      </w:r>
    </w:p>
    <w:p>
      <w:pPr>
        <w:pStyle w:val="12"/>
        <w:widowControl/>
        <w:numPr>
          <w:ilvl w:val="0"/>
          <w:numId w:val="35"/>
        </w:numPr>
        <w:shd w:val="clear" w:color="auto" w:fill="FFFFFF"/>
        <w:spacing w:after="225" w:line="360" w:lineRule="auto"/>
        <w:ind w:firstLineChars="0"/>
        <w:jc w:val="left"/>
        <w:rPr>
          <w:rFonts w:hint="eastAsia" w:ascii="Times New Roman" w:hAnsi="Times New Roman" w:eastAsia="宋体" w:cs="宋体"/>
          <w:color w:val="auto"/>
          <w:kern w:val="0"/>
          <w:sz w:val="24"/>
          <w:szCs w:val="24"/>
        </w:rPr>
      </w:pPr>
      <w:r>
        <w:rPr>
          <w:rFonts w:hint="eastAsia" w:ascii="Times New Roman" w:hAnsi="Times New Roman" w:eastAsia="宋体" w:cs="宋体"/>
          <w:color w:val="auto"/>
          <w:kern w:val="0"/>
          <w:sz w:val="24"/>
          <w:szCs w:val="24"/>
        </w:rPr>
        <w:t>现代政府与社会保障制度</w:t>
      </w:r>
    </w:p>
    <w:p>
      <w:pPr>
        <w:pStyle w:val="12"/>
        <w:widowControl/>
        <w:numPr>
          <w:ilvl w:val="0"/>
          <w:numId w:val="35"/>
        </w:numPr>
        <w:shd w:val="clear" w:color="auto" w:fill="FFFFFF"/>
        <w:spacing w:after="225" w:line="360" w:lineRule="auto"/>
        <w:ind w:firstLineChars="0"/>
        <w:jc w:val="left"/>
        <w:rPr>
          <w:rFonts w:hint="eastAsia" w:ascii="Times New Roman" w:hAnsi="Times New Roman" w:eastAsia="宋体" w:cs="宋体"/>
          <w:color w:val="auto"/>
          <w:kern w:val="0"/>
          <w:sz w:val="24"/>
          <w:szCs w:val="24"/>
        </w:rPr>
      </w:pPr>
      <w:r>
        <w:rPr>
          <w:rFonts w:hint="eastAsia" w:ascii="Times New Roman" w:hAnsi="Times New Roman" w:eastAsia="宋体" w:cs="宋体"/>
          <w:color w:val="auto"/>
          <w:kern w:val="0"/>
          <w:sz w:val="24"/>
          <w:szCs w:val="24"/>
        </w:rPr>
        <w:t>社会保障与社会政策的国际比较</w:t>
      </w:r>
    </w:p>
    <w:p>
      <w:pPr>
        <w:pStyle w:val="12"/>
        <w:widowControl/>
        <w:numPr>
          <w:ilvl w:val="0"/>
          <w:numId w:val="35"/>
        </w:numPr>
        <w:shd w:val="clear" w:color="auto" w:fill="FFFFFF"/>
        <w:spacing w:after="225" w:line="360" w:lineRule="auto"/>
        <w:ind w:firstLineChars="0"/>
        <w:jc w:val="left"/>
        <w:rPr>
          <w:rFonts w:hint="eastAsia" w:ascii="Times New Roman" w:hAnsi="Times New Roman" w:eastAsia="宋体" w:cs="宋体"/>
          <w:color w:val="auto"/>
          <w:kern w:val="0"/>
          <w:sz w:val="24"/>
          <w:szCs w:val="24"/>
        </w:rPr>
      </w:pPr>
      <w:r>
        <w:rPr>
          <w:rFonts w:hint="eastAsia" w:ascii="Times New Roman" w:hAnsi="Times New Roman" w:eastAsia="宋体" w:cs="宋体"/>
          <w:color w:val="auto"/>
          <w:kern w:val="0"/>
          <w:sz w:val="24"/>
          <w:szCs w:val="24"/>
        </w:rPr>
        <w:t>劳动就业与劳动政策的理论与实践</w:t>
      </w:r>
    </w:p>
    <w:p>
      <w:pPr>
        <w:pStyle w:val="12"/>
        <w:widowControl/>
        <w:numPr>
          <w:ilvl w:val="0"/>
          <w:numId w:val="35"/>
        </w:numPr>
        <w:shd w:val="clear" w:color="auto" w:fill="FFFFFF"/>
        <w:spacing w:after="225" w:line="360" w:lineRule="auto"/>
        <w:ind w:firstLineChars="0"/>
        <w:jc w:val="left"/>
        <w:rPr>
          <w:rFonts w:hint="eastAsia" w:ascii="Times New Roman" w:hAnsi="Times New Roman" w:eastAsia="宋体" w:cs="宋体"/>
          <w:color w:val="auto"/>
          <w:kern w:val="0"/>
          <w:sz w:val="24"/>
          <w:szCs w:val="24"/>
        </w:rPr>
      </w:pPr>
      <w:r>
        <w:rPr>
          <w:rFonts w:hint="eastAsia" w:ascii="Times New Roman" w:hAnsi="Times New Roman" w:eastAsia="宋体" w:cs="宋体"/>
          <w:color w:val="auto"/>
          <w:kern w:val="0"/>
          <w:sz w:val="24"/>
          <w:szCs w:val="24"/>
        </w:rPr>
        <w:t>养老、医疗、失业保险的理论与实践</w:t>
      </w:r>
    </w:p>
    <w:p>
      <w:pPr>
        <w:pStyle w:val="12"/>
        <w:widowControl/>
        <w:numPr>
          <w:ilvl w:val="0"/>
          <w:numId w:val="35"/>
        </w:numPr>
        <w:shd w:val="clear" w:color="auto" w:fill="FFFFFF"/>
        <w:spacing w:after="225" w:line="360" w:lineRule="auto"/>
        <w:ind w:firstLineChars="0"/>
        <w:jc w:val="left"/>
        <w:rPr>
          <w:rFonts w:hint="eastAsia" w:ascii="Times New Roman" w:hAnsi="Times New Roman" w:eastAsia="宋体" w:cs="宋体"/>
          <w:color w:val="auto"/>
          <w:kern w:val="0"/>
          <w:sz w:val="24"/>
          <w:szCs w:val="24"/>
        </w:rPr>
      </w:pPr>
      <w:r>
        <w:rPr>
          <w:rFonts w:hint="eastAsia" w:ascii="Times New Roman" w:hAnsi="Times New Roman" w:eastAsia="宋体" w:cs="宋体"/>
          <w:color w:val="auto"/>
          <w:kern w:val="0"/>
          <w:sz w:val="24"/>
          <w:szCs w:val="24"/>
        </w:rPr>
        <w:t>社会救助、社会福利、住房保障制度等</w:t>
      </w:r>
    </w:p>
    <w:p>
      <w:pPr>
        <w:pStyle w:val="12"/>
        <w:widowControl/>
        <w:numPr>
          <w:ilvl w:val="0"/>
          <w:numId w:val="35"/>
        </w:numPr>
        <w:shd w:val="clear" w:color="auto" w:fill="FFFFFF"/>
        <w:spacing w:after="225" w:line="360" w:lineRule="auto"/>
        <w:ind w:firstLineChars="0"/>
        <w:jc w:val="left"/>
        <w:rPr>
          <w:rFonts w:hint="eastAsia" w:ascii="Times New Roman" w:hAnsi="Times New Roman" w:eastAsia="宋体" w:cs="宋体"/>
          <w:color w:val="auto"/>
          <w:kern w:val="0"/>
          <w:sz w:val="24"/>
          <w:szCs w:val="24"/>
        </w:rPr>
      </w:pPr>
      <w:r>
        <w:rPr>
          <w:rFonts w:hint="eastAsia" w:ascii="Times New Roman" w:hAnsi="Times New Roman" w:eastAsia="宋体" w:cs="宋体"/>
          <w:color w:val="auto"/>
          <w:kern w:val="0"/>
          <w:sz w:val="24"/>
          <w:szCs w:val="24"/>
        </w:rPr>
        <w:t>中国当前社会保障、社会政策、社会福利等领域的前沿问题</w:t>
      </w:r>
    </w:p>
    <w:p>
      <w:pPr>
        <w:spacing w:line="360" w:lineRule="auto"/>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br w:type="page"/>
      </w:r>
    </w:p>
    <w:p>
      <w:pPr>
        <w:spacing w:line="360" w:lineRule="auto"/>
        <w:rPr>
          <w:rFonts w:hint="eastAsia" w:ascii="Times New Roman" w:hAnsi="Times New Roman" w:eastAsia="宋体" w:cs="宋体"/>
          <w:b/>
          <w:color w:val="0000FF"/>
          <w:kern w:val="0"/>
          <w:sz w:val="24"/>
          <w:szCs w:val="24"/>
        </w:rPr>
      </w:pPr>
      <w:r>
        <w:rPr>
          <w:rFonts w:hint="eastAsia" w:ascii="Times New Roman" w:hAnsi="Times New Roman" w:eastAsia="宋体" w:cs="宋体"/>
          <w:b/>
          <w:color w:val="0000FF"/>
          <w:kern w:val="0"/>
          <w:sz w:val="24"/>
          <w:szCs w:val="24"/>
        </w:rPr>
        <w:t>040101 教育学原理</w:t>
      </w:r>
    </w:p>
    <w:p>
      <w:pPr>
        <w:widowControl/>
        <w:adjustRightInd w:val="0"/>
        <w:snapToGrid w:val="0"/>
        <w:spacing w:line="360" w:lineRule="auto"/>
        <w:ind w:firstLine="480" w:firstLineChars="200"/>
        <w:jc w:val="left"/>
        <w:rPr>
          <w:rFonts w:hint="eastAsia" w:ascii="Times New Roman" w:hAnsi="Times New Roman" w:eastAsia="宋体" w:cs="宋体"/>
          <w:b/>
          <w:kern w:val="0"/>
          <w:sz w:val="24"/>
          <w:szCs w:val="24"/>
        </w:rPr>
      </w:pPr>
      <w:r>
        <w:rPr>
          <w:rFonts w:hint="eastAsia" w:ascii="Times New Roman" w:hAnsi="Times New Roman" w:eastAsia="宋体" w:cs="宋体"/>
          <w:kern w:val="0"/>
          <w:sz w:val="24"/>
          <w:szCs w:val="24"/>
        </w:rPr>
        <w:t>本专业不指定参考书目和考试大纲。</w:t>
      </w:r>
    </w:p>
    <w:p>
      <w:pPr>
        <w:spacing w:line="360" w:lineRule="auto"/>
        <w:rPr>
          <w:rFonts w:hint="eastAsia" w:ascii="Times New Roman" w:hAnsi="Times New Roman" w:eastAsia="宋体" w:cs="宋体"/>
          <w:b/>
          <w:color w:val="0000FF"/>
          <w:kern w:val="0"/>
          <w:sz w:val="24"/>
          <w:szCs w:val="24"/>
        </w:rPr>
      </w:pPr>
    </w:p>
    <w:p>
      <w:pPr>
        <w:spacing w:line="360" w:lineRule="auto"/>
        <w:rPr>
          <w:rFonts w:hint="eastAsia" w:ascii="Times New Roman" w:hAnsi="Times New Roman" w:eastAsia="宋体" w:cs="宋体"/>
          <w:b/>
          <w:color w:val="0000FF"/>
          <w:kern w:val="0"/>
          <w:sz w:val="24"/>
          <w:szCs w:val="24"/>
        </w:rPr>
      </w:pPr>
      <w:r>
        <w:rPr>
          <w:rFonts w:hint="eastAsia" w:ascii="Times New Roman" w:hAnsi="Times New Roman" w:eastAsia="宋体" w:cs="宋体"/>
          <w:b/>
          <w:color w:val="0000FF"/>
          <w:kern w:val="0"/>
          <w:sz w:val="24"/>
          <w:szCs w:val="24"/>
        </w:rPr>
        <w:t>040102 课程与教学论</w:t>
      </w:r>
    </w:p>
    <w:p>
      <w:pPr>
        <w:widowControl/>
        <w:adjustRightInd w:val="0"/>
        <w:snapToGrid w:val="0"/>
        <w:spacing w:line="360" w:lineRule="auto"/>
        <w:ind w:firstLine="480" w:firstLineChars="200"/>
        <w:jc w:val="left"/>
        <w:rPr>
          <w:rFonts w:hint="eastAsia" w:ascii="Times New Roman" w:hAnsi="Times New Roman" w:eastAsia="宋体" w:cs="宋体"/>
          <w:b/>
          <w:kern w:val="0"/>
          <w:sz w:val="24"/>
          <w:szCs w:val="24"/>
        </w:rPr>
      </w:pPr>
      <w:r>
        <w:rPr>
          <w:rFonts w:hint="eastAsia" w:ascii="Times New Roman" w:hAnsi="Times New Roman" w:eastAsia="宋体" w:cs="宋体"/>
          <w:kern w:val="0"/>
          <w:sz w:val="24"/>
          <w:szCs w:val="24"/>
        </w:rPr>
        <w:t>本专业不指定参考书目和考试大纲。</w:t>
      </w:r>
    </w:p>
    <w:p>
      <w:pPr>
        <w:widowControl/>
        <w:adjustRightInd w:val="0"/>
        <w:snapToGrid w:val="0"/>
        <w:spacing w:line="360" w:lineRule="auto"/>
        <w:jc w:val="left"/>
        <w:rPr>
          <w:rFonts w:hint="eastAsia" w:ascii="Times New Roman" w:hAnsi="Times New Roman" w:eastAsia="宋体" w:cs="宋体"/>
          <w:b/>
          <w:kern w:val="0"/>
          <w:sz w:val="24"/>
          <w:szCs w:val="24"/>
        </w:rPr>
      </w:pPr>
    </w:p>
    <w:p>
      <w:pPr>
        <w:spacing w:line="360" w:lineRule="auto"/>
        <w:rPr>
          <w:rFonts w:hint="eastAsia" w:ascii="Times New Roman" w:hAnsi="Times New Roman" w:eastAsia="宋体" w:cs="宋体"/>
          <w:b/>
          <w:color w:val="0000FF"/>
          <w:kern w:val="0"/>
          <w:sz w:val="24"/>
          <w:szCs w:val="24"/>
        </w:rPr>
      </w:pPr>
      <w:r>
        <w:rPr>
          <w:rFonts w:hint="eastAsia" w:ascii="Times New Roman" w:hAnsi="Times New Roman" w:eastAsia="宋体" w:cs="宋体"/>
          <w:b/>
          <w:color w:val="0000FF"/>
          <w:kern w:val="0"/>
          <w:sz w:val="24"/>
          <w:szCs w:val="24"/>
        </w:rPr>
        <w:t>040103 教育史</w:t>
      </w:r>
    </w:p>
    <w:p>
      <w:pPr>
        <w:widowControl/>
        <w:adjustRightInd w:val="0"/>
        <w:snapToGrid w:val="0"/>
        <w:spacing w:line="360" w:lineRule="auto"/>
        <w:ind w:firstLine="480" w:firstLineChars="200"/>
        <w:jc w:val="left"/>
        <w:rPr>
          <w:rFonts w:hint="eastAsia" w:ascii="Times New Roman" w:hAnsi="Times New Roman" w:eastAsia="宋体" w:cs="宋体"/>
          <w:b/>
          <w:kern w:val="0"/>
          <w:sz w:val="24"/>
          <w:szCs w:val="24"/>
        </w:rPr>
      </w:pPr>
      <w:r>
        <w:rPr>
          <w:rFonts w:hint="eastAsia" w:ascii="Times New Roman" w:hAnsi="Times New Roman" w:eastAsia="宋体" w:cs="宋体"/>
          <w:kern w:val="0"/>
          <w:sz w:val="24"/>
          <w:szCs w:val="24"/>
        </w:rPr>
        <w:t>本专业不指定参考书目和考试大纲。</w:t>
      </w:r>
    </w:p>
    <w:p>
      <w:pPr>
        <w:widowControl/>
        <w:adjustRightInd w:val="0"/>
        <w:snapToGrid w:val="0"/>
        <w:spacing w:line="360" w:lineRule="auto"/>
        <w:jc w:val="left"/>
        <w:rPr>
          <w:rFonts w:hint="eastAsia" w:ascii="Times New Roman" w:hAnsi="Times New Roman" w:eastAsia="宋体" w:cs="宋体"/>
          <w:b/>
          <w:kern w:val="0"/>
          <w:sz w:val="24"/>
          <w:szCs w:val="24"/>
          <w:lang w:eastAsia="zh-TW"/>
        </w:rPr>
      </w:pPr>
    </w:p>
    <w:p>
      <w:pPr>
        <w:spacing w:line="360" w:lineRule="auto"/>
        <w:rPr>
          <w:rFonts w:hint="eastAsia" w:ascii="Times New Roman" w:hAnsi="Times New Roman" w:eastAsia="宋体" w:cs="宋体"/>
          <w:b/>
          <w:color w:val="0000FF"/>
          <w:kern w:val="0"/>
          <w:sz w:val="24"/>
          <w:szCs w:val="24"/>
        </w:rPr>
      </w:pPr>
      <w:r>
        <w:rPr>
          <w:rFonts w:hint="eastAsia" w:ascii="Times New Roman" w:hAnsi="Times New Roman" w:eastAsia="宋体" w:cs="宋体"/>
          <w:b/>
          <w:color w:val="0000FF"/>
          <w:kern w:val="0"/>
          <w:sz w:val="24"/>
          <w:szCs w:val="24"/>
        </w:rPr>
        <w:t>040104 比较教育学</w:t>
      </w:r>
    </w:p>
    <w:p>
      <w:pPr>
        <w:widowControl/>
        <w:adjustRightInd w:val="0"/>
        <w:snapToGrid w:val="0"/>
        <w:spacing w:line="360" w:lineRule="auto"/>
        <w:ind w:firstLine="480" w:firstLineChars="200"/>
        <w:jc w:val="left"/>
        <w:rPr>
          <w:rFonts w:hint="eastAsia" w:ascii="Times New Roman" w:hAnsi="Times New Roman" w:eastAsia="宋体" w:cs="宋体"/>
          <w:b/>
          <w:kern w:val="0"/>
          <w:sz w:val="24"/>
          <w:szCs w:val="24"/>
        </w:rPr>
      </w:pPr>
      <w:r>
        <w:rPr>
          <w:rFonts w:hint="eastAsia" w:ascii="Times New Roman" w:hAnsi="Times New Roman" w:eastAsia="宋体" w:cs="宋体"/>
          <w:kern w:val="0"/>
          <w:sz w:val="24"/>
          <w:szCs w:val="24"/>
        </w:rPr>
        <w:t>本专业不指定参考书目和考试大纲。</w:t>
      </w:r>
    </w:p>
    <w:p>
      <w:pPr>
        <w:widowControl/>
        <w:adjustRightInd w:val="0"/>
        <w:snapToGrid w:val="0"/>
        <w:spacing w:line="360" w:lineRule="auto"/>
        <w:jc w:val="left"/>
        <w:rPr>
          <w:rFonts w:hint="eastAsia" w:ascii="Times New Roman" w:hAnsi="Times New Roman" w:eastAsia="宋体" w:cs="宋体"/>
          <w:b/>
          <w:kern w:val="0"/>
          <w:sz w:val="24"/>
          <w:szCs w:val="24"/>
          <w:lang w:eastAsia="zh-TW"/>
        </w:rPr>
      </w:pPr>
    </w:p>
    <w:p>
      <w:pPr>
        <w:spacing w:line="360" w:lineRule="auto"/>
        <w:rPr>
          <w:rFonts w:hint="eastAsia" w:ascii="Times New Roman" w:hAnsi="Times New Roman" w:eastAsia="宋体" w:cs="宋体"/>
          <w:b/>
          <w:color w:val="0000FF"/>
          <w:kern w:val="0"/>
          <w:sz w:val="24"/>
          <w:szCs w:val="24"/>
        </w:rPr>
      </w:pPr>
      <w:r>
        <w:rPr>
          <w:rFonts w:hint="eastAsia" w:ascii="Times New Roman" w:hAnsi="Times New Roman" w:eastAsia="宋体" w:cs="宋体"/>
          <w:b/>
          <w:color w:val="0000FF"/>
          <w:kern w:val="0"/>
          <w:sz w:val="24"/>
          <w:szCs w:val="24"/>
        </w:rPr>
        <w:t>040106 高等教育学</w:t>
      </w:r>
    </w:p>
    <w:p>
      <w:pPr>
        <w:widowControl/>
        <w:adjustRightInd w:val="0"/>
        <w:snapToGrid w:val="0"/>
        <w:spacing w:line="360" w:lineRule="auto"/>
        <w:ind w:firstLine="480" w:firstLineChars="200"/>
        <w:jc w:val="left"/>
        <w:rPr>
          <w:rFonts w:hint="eastAsia" w:ascii="Times New Roman" w:hAnsi="Times New Roman" w:eastAsia="宋体" w:cs="宋体"/>
          <w:b/>
          <w:kern w:val="0"/>
          <w:sz w:val="24"/>
          <w:szCs w:val="24"/>
        </w:rPr>
      </w:pPr>
      <w:r>
        <w:rPr>
          <w:rFonts w:hint="eastAsia" w:ascii="Times New Roman" w:hAnsi="Times New Roman" w:eastAsia="宋体" w:cs="宋体"/>
          <w:kern w:val="0"/>
          <w:sz w:val="24"/>
          <w:szCs w:val="24"/>
        </w:rPr>
        <w:t>本专业不指定参考书目和考试大纲。</w:t>
      </w:r>
    </w:p>
    <w:p>
      <w:pPr>
        <w:spacing w:line="360" w:lineRule="auto"/>
        <w:rPr>
          <w:rFonts w:hint="eastAsia" w:ascii="Times New Roman" w:hAnsi="Times New Roman" w:eastAsia="宋体" w:cs="宋体"/>
          <w:b/>
          <w:color w:val="0000FF"/>
          <w:kern w:val="0"/>
          <w:sz w:val="24"/>
          <w:szCs w:val="24"/>
          <w:lang w:eastAsia="zh-TW"/>
        </w:rPr>
      </w:pPr>
    </w:p>
    <w:p>
      <w:pPr>
        <w:spacing w:line="360" w:lineRule="auto"/>
        <w:rPr>
          <w:rFonts w:hint="eastAsia" w:ascii="Times New Roman" w:hAnsi="Times New Roman" w:eastAsia="宋体" w:cs="宋体"/>
          <w:b/>
          <w:color w:val="0000FF"/>
          <w:kern w:val="0"/>
          <w:sz w:val="24"/>
          <w:szCs w:val="24"/>
        </w:rPr>
      </w:pPr>
      <w:r>
        <w:rPr>
          <w:rFonts w:hint="eastAsia" w:ascii="Times New Roman" w:hAnsi="Times New Roman" w:eastAsia="宋体" w:cs="宋体"/>
          <w:b/>
          <w:color w:val="0000FF"/>
          <w:kern w:val="0"/>
          <w:sz w:val="24"/>
          <w:szCs w:val="24"/>
        </w:rPr>
        <w:t>0401Z1 教育领导科学</w:t>
      </w:r>
    </w:p>
    <w:p>
      <w:pPr>
        <w:widowControl/>
        <w:adjustRightInd w:val="0"/>
        <w:snapToGrid w:val="0"/>
        <w:spacing w:line="360" w:lineRule="auto"/>
        <w:ind w:firstLine="480" w:firstLineChars="200"/>
        <w:jc w:val="left"/>
        <w:rPr>
          <w:rFonts w:hint="eastAsia" w:ascii="Times New Roman" w:hAnsi="Times New Roman" w:eastAsia="宋体" w:cs="宋体"/>
          <w:b/>
          <w:kern w:val="0"/>
          <w:sz w:val="24"/>
          <w:szCs w:val="24"/>
        </w:rPr>
      </w:pPr>
      <w:r>
        <w:rPr>
          <w:rFonts w:hint="eastAsia" w:ascii="Times New Roman" w:hAnsi="Times New Roman" w:eastAsia="宋体" w:cs="宋体"/>
          <w:kern w:val="0"/>
          <w:sz w:val="24"/>
          <w:szCs w:val="24"/>
        </w:rPr>
        <w:t>本专业不指定参考书目和考试大纲。</w:t>
      </w:r>
    </w:p>
    <w:p>
      <w:pPr>
        <w:spacing w:line="360" w:lineRule="auto"/>
        <w:rPr>
          <w:rFonts w:hint="eastAsia" w:ascii="Times New Roman" w:hAnsi="Times New Roman" w:eastAsia="宋体" w:cs="宋体"/>
          <w:b/>
          <w:color w:val="0000FF"/>
          <w:kern w:val="0"/>
          <w:sz w:val="24"/>
          <w:szCs w:val="24"/>
          <w:lang w:eastAsia="zh-TW"/>
        </w:rPr>
      </w:pPr>
    </w:p>
    <w:p>
      <w:pPr>
        <w:spacing w:line="360" w:lineRule="auto"/>
        <w:rPr>
          <w:rFonts w:hint="eastAsia" w:ascii="Times New Roman" w:hAnsi="Times New Roman" w:eastAsia="宋体" w:cs="宋体"/>
          <w:b/>
          <w:color w:val="0000FF"/>
          <w:kern w:val="0"/>
          <w:sz w:val="24"/>
          <w:szCs w:val="24"/>
        </w:rPr>
      </w:pPr>
      <w:r>
        <w:rPr>
          <w:rFonts w:hint="eastAsia" w:ascii="Times New Roman" w:hAnsi="Times New Roman" w:eastAsia="宋体" w:cs="宋体"/>
          <w:b/>
          <w:color w:val="0000FF"/>
          <w:kern w:val="0"/>
          <w:sz w:val="24"/>
          <w:szCs w:val="24"/>
        </w:rPr>
        <w:t>0401Z2 基础教育学</w:t>
      </w:r>
    </w:p>
    <w:p>
      <w:pPr>
        <w:widowControl/>
        <w:adjustRightInd w:val="0"/>
        <w:snapToGrid w:val="0"/>
        <w:spacing w:line="360" w:lineRule="auto"/>
        <w:ind w:firstLine="480" w:firstLineChars="200"/>
        <w:jc w:val="left"/>
        <w:rPr>
          <w:rFonts w:hint="eastAsia" w:ascii="Times New Roman" w:hAnsi="Times New Roman" w:eastAsia="宋体" w:cs="宋体"/>
          <w:b/>
          <w:kern w:val="0"/>
          <w:sz w:val="24"/>
          <w:szCs w:val="24"/>
        </w:rPr>
      </w:pPr>
      <w:r>
        <w:rPr>
          <w:rFonts w:hint="eastAsia" w:ascii="Times New Roman" w:hAnsi="Times New Roman" w:eastAsia="宋体" w:cs="宋体"/>
          <w:kern w:val="0"/>
          <w:sz w:val="24"/>
          <w:szCs w:val="24"/>
        </w:rPr>
        <w:t>本专业不指定参考书目和考试大纲。</w:t>
      </w:r>
    </w:p>
    <w:p>
      <w:pPr>
        <w:widowControl/>
        <w:adjustRightInd w:val="0"/>
        <w:snapToGrid w:val="0"/>
        <w:spacing w:line="360" w:lineRule="auto"/>
        <w:jc w:val="left"/>
        <w:rPr>
          <w:rFonts w:hint="eastAsia" w:ascii="Times New Roman" w:hAnsi="Times New Roman" w:eastAsia="宋体" w:cs="宋体"/>
          <w:b/>
          <w:kern w:val="0"/>
          <w:sz w:val="24"/>
          <w:szCs w:val="24"/>
          <w:lang w:eastAsia="zh-TW"/>
        </w:rPr>
      </w:pP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br w:type="page"/>
      </w:r>
    </w:p>
    <w:p>
      <w:pPr>
        <w:spacing w:line="360" w:lineRule="auto"/>
        <w:rPr>
          <w:rFonts w:hint="eastAsia" w:ascii="Times New Roman" w:hAnsi="Times New Roman" w:eastAsia="宋体" w:cs="宋体"/>
          <w:b/>
          <w:color w:val="0000FF"/>
          <w:kern w:val="0"/>
          <w:sz w:val="24"/>
          <w:szCs w:val="24"/>
        </w:rPr>
      </w:pPr>
      <w:r>
        <w:rPr>
          <w:rFonts w:hint="eastAsia" w:ascii="Times New Roman" w:hAnsi="Times New Roman" w:eastAsia="宋体" w:cs="宋体"/>
          <w:b/>
          <w:color w:val="0000FF"/>
          <w:kern w:val="0"/>
          <w:sz w:val="24"/>
          <w:szCs w:val="24"/>
        </w:rPr>
        <w:t>040110教育技术学</w:t>
      </w:r>
    </w:p>
    <w:p>
      <w:pPr>
        <w:spacing w:line="360" w:lineRule="auto"/>
        <w:rPr>
          <w:rFonts w:hint="eastAsia" w:ascii="Times New Roman" w:hAnsi="Times New Roman" w:eastAsia="宋体" w:cs="宋体"/>
          <w:sz w:val="24"/>
          <w:szCs w:val="24"/>
          <w:lang w:eastAsia="zh-TW"/>
        </w:rPr>
      </w:pPr>
      <w:r>
        <w:rPr>
          <w:rFonts w:hint="eastAsia" w:ascii="Times New Roman" w:hAnsi="Times New Roman" w:eastAsia="宋体" w:cs="宋体"/>
          <w:sz w:val="24"/>
          <w:szCs w:val="24"/>
        </w:rPr>
        <w:t xml:space="preserve">    本学科专业创办于1983年，是新中国第一个教育技术学本科专业。2003年评为省级名牌专业，2007年评为第一批高等学校教育技术学特色专业建设点。1986年获得全国第一批硕士学位授予权，1986年获得首批省级重点建设学科，1996年评为“211工程”重点建设学科，1998年获得博士学位授予权，2002年评为国家级重点学科，2003年建立教育技术学专业博士后科学研究流动站，具有从学士、硕士、博士到博士后流动站的完整人才培养体系。1989年以来，本学科专业连续八届取得九项国家级高等教育教学成果奖，其中一等奖两项，这在全国高校同类学科中是惟一的。</w:t>
      </w:r>
    </w:p>
    <w:p>
      <w:pPr>
        <w:spacing w:line="360" w:lineRule="auto"/>
        <w:ind w:firstLine="480"/>
        <w:rPr>
          <w:rFonts w:hint="eastAsia" w:ascii="Times New Roman" w:hAnsi="Times New Roman" w:eastAsia="宋体" w:cs="宋体"/>
          <w:sz w:val="24"/>
          <w:szCs w:val="24"/>
          <w:lang w:eastAsia="zh-TW"/>
        </w:rPr>
      </w:pPr>
      <w:r>
        <w:rPr>
          <w:rFonts w:hint="eastAsia" w:ascii="Times New Roman" w:hAnsi="Times New Roman" w:eastAsia="宋体" w:cs="宋体"/>
          <w:sz w:val="24"/>
          <w:szCs w:val="24"/>
        </w:rPr>
        <w:t>本专业师资力量雄厚，在教育技术基本理论、教育信息化建设、媒体与数字技术等领域承担了诸多国际、国内研究项目，取得众多研究成果。本专业具有良好的数字化学习环境，拥有各类先进的实验室，包括网络电视制作实验室、网络多媒体微格实验室、网络互联技术研究与开发开放性实验室、教学资源设计实验室，知识媒体研究型实验室、CSCL研究型实验室、计算机网络与分布式系统等研究型实验室等，拥有全国多媒体教学软件制作与培训基地，全国教育技术培训中心，国家级信息传播实验教学示范中心，广东省高校人文社会科学重点研究基地，广东省智能学习工程技术研究中心，广东省教育云服务工程技术研究中心，广州市人文社会科学重点研究基地，教育信息化发展协同创新中心；国家级教学团队1个，国家级精品课程3门，国家级双语示范课程1门，国家精品资源共享课3门，国家一流课程8门，省级精品资源共享课3门，省级精品视频公开课1门。为开展教学和研究工作提供了良好的支撑。</w:t>
      </w:r>
    </w:p>
    <w:p>
      <w:pPr>
        <w:spacing w:line="360" w:lineRule="auto"/>
        <w:rPr>
          <w:rFonts w:hint="eastAsia" w:ascii="Times New Roman" w:hAnsi="Times New Roman" w:eastAsia="宋体" w:cs="宋体"/>
          <w:b/>
          <w:kern w:val="0"/>
          <w:sz w:val="24"/>
          <w:szCs w:val="24"/>
          <w:lang w:eastAsia="zh-TW"/>
        </w:rPr>
      </w:pPr>
    </w:p>
    <w:p>
      <w:pPr>
        <w:spacing w:line="360" w:lineRule="auto"/>
        <w:rPr>
          <w:rFonts w:hint="eastAsia" w:ascii="Times New Roman" w:hAnsi="Times New Roman" w:eastAsia="宋体" w:cs="宋体"/>
          <w:b/>
          <w:kern w:val="0"/>
          <w:sz w:val="24"/>
          <w:szCs w:val="24"/>
          <w:lang w:eastAsia="zh-TW"/>
        </w:rPr>
      </w:pPr>
      <w:r>
        <w:rPr>
          <w:rFonts w:hint="eastAsia" w:ascii="Times New Roman" w:hAnsi="Times New Roman" w:eastAsia="宋体" w:cs="宋体"/>
          <w:b/>
          <w:kern w:val="0"/>
          <w:sz w:val="24"/>
          <w:szCs w:val="24"/>
        </w:rPr>
        <w:t>考试大纲：</w:t>
      </w:r>
    </w:p>
    <w:p>
      <w:pPr>
        <w:spacing w:line="360" w:lineRule="auto"/>
        <w:rPr>
          <w:rFonts w:hint="eastAsia" w:ascii="Times New Roman" w:hAnsi="Times New Roman" w:eastAsia="宋体" w:cs="宋体"/>
          <w:b/>
          <w:kern w:val="0"/>
          <w:sz w:val="24"/>
          <w:szCs w:val="24"/>
          <w:lang w:eastAsia="zh-TW"/>
        </w:rPr>
      </w:pPr>
      <w:r>
        <w:rPr>
          <w:rFonts w:hint="eastAsia" w:ascii="Times New Roman" w:hAnsi="Times New Roman" w:eastAsia="宋体" w:cs="宋体"/>
          <w:b/>
          <w:kern w:val="0"/>
          <w:sz w:val="24"/>
          <w:szCs w:val="24"/>
        </w:rPr>
        <w:t>《教育技术学》科目</w:t>
      </w:r>
    </w:p>
    <w:p>
      <w:pPr>
        <w:spacing w:line="360" w:lineRule="auto"/>
        <w:rPr>
          <w:rFonts w:hint="eastAsia" w:ascii="Times New Roman" w:hAnsi="Times New Roman" w:eastAsia="宋体" w:cs="宋体"/>
          <w:sz w:val="24"/>
          <w:szCs w:val="24"/>
          <w:lang w:eastAsia="zh-TW"/>
        </w:rPr>
      </w:pPr>
      <w:r>
        <w:rPr>
          <w:rFonts w:hint="eastAsia" w:ascii="Times New Roman" w:hAnsi="Times New Roman" w:eastAsia="宋体" w:cs="宋体"/>
          <w:sz w:val="24"/>
          <w:szCs w:val="24"/>
        </w:rPr>
        <w:t>1.信息技术在教育中应用的理论、趋势和内涵</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2.各种信息化教学模式的特点、结构和应用策略</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3.各种信息化教学资源的特点和发展趋势</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4.信息化教学环境的类型</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5.教学设计的特点与方法</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6.教育技术中的常见研究方法</w:t>
      </w:r>
    </w:p>
    <w:p>
      <w:pPr>
        <w:spacing w:line="360" w:lineRule="auto"/>
        <w:rPr>
          <w:rFonts w:hint="eastAsia" w:ascii="Times New Roman" w:hAnsi="Times New Roman" w:eastAsia="宋体" w:cs="宋体"/>
          <w:b/>
          <w:kern w:val="0"/>
          <w:sz w:val="24"/>
          <w:szCs w:val="24"/>
          <w:lang w:eastAsia="zh-TW"/>
        </w:rPr>
      </w:pPr>
      <w:r>
        <w:rPr>
          <w:rFonts w:hint="eastAsia" w:ascii="Times New Roman" w:hAnsi="Times New Roman" w:eastAsia="宋体" w:cs="宋体"/>
          <w:b/>
          <w:kern w:val="0"/>
          <w:sz w:val="24"/>
          <w:szCs w:val="24"/>
        </w:rPr>
        <w:t>《教育学原理》科目</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1.教育的本质与意义</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2.教育、人与社会的关系</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3.教师与学生</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4.教学过程与教学方法</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5.课程与教学理论</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6.教育教学测量与评价</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7.学习、教学与教育的关系</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8.与教育及其要素相关诸议题</w:t>
      </w:r>
    </w:p>
    <w:p>
      <w:pPr>
        <w:spacing w:line="360" w:lineRule="auto"/>
        <w:rPr>
          <w:rFonts w:hint="eastAsia" w:ascii="Times New Roman" w:hAnsi="Times New Roman" w:eastAsia="宋体" w:cs="宋体"/>
          <w:b/>
          <w:kern w:val="0"/>
          <w:sz w:val="24"/>
          <w:szCs w:val="24"/>
          <w:lang w:eastAsia="zh-TW"/>
        </w:rPr>
      </w:pPr>
      <w:r>
        <w:rPr>
          <w:rFonts w:hint="eastAsia" w:ascii="Times New Roman" w:hAnsi="Times New Roman" w:eastAsia="宋体" w:cs="宋体"/>
          <w:b/>
          <w:kern w:val="0"/>
          <w:sz w:val="24"/>
          <w:szCs w:val="24"/>
        </w:rPr>
        <w:t>《远程教育理论与方法》科目</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1.发展历程</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2.概念和特征</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3.基本理论</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4.远程教育系统构成</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5.远程教育中的技术与媒体</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6.远程学习材料的设计与建设</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7.在线教与学</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8.学习支持与服务</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9.网络远程教育质量保障</w:t>
      </w:r>
    </w:p>
    <w:p>
      <w:pPr>
        <w:spacing w:line="360" w:lineRule="auto"/>
        <w:rPr>
          <w:rFonts w:hint="eastAsia" w:ascii="Times New Roman" w:hAnsi="Times New Roman" w:eastAsia="宋体" w:cs="宋体"/>
          <w:b/>
          <w:kern w:val="0"/>
          <w:sz w:val="24"/>
          <w:szCs w:val="24"/>
        </w:rPr>
      </w:pPr>
      <w:r>
        <w:rPr>
          <w:rFonts w:hint="eastAsia" w:ascii="Times New Roman" w:hAnsi="Times New Roman" w:eastAsia="宋体" w:cs="宋体"/>
          <w:b/>
          <w:kern w:val="0"/>
          <w:sz w:val="24"/>
          <w:szCs w:val="24"/>
        </w:rPr>
        <w:t>《智慧教育应用》科目</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1.智慧教育的概念、内涵与特征；</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2.智慧教育的典型应用；</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3.智慧学习环境要素与构建；</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4.智慧学习环境下的学习方式变革；</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5.教育大数据与学校现代治理；</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6.智慧教育的体系解构与技术解构；</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7.智能教育与智能教育的区别；</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8.智慧校园与数字校园的区别；</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9. STEAM教育与创新人才培养。</w:t>
      </w:r>
    </w:p>
    <w:p>
      <w:pPr>
        <w:spacing w:line="360" w:lineRule="auto"/>
        <w:rPr>
          <w:rFonts w:hint="eastAsia" w:ascii="Times New Roman" w:hAnsi="Times New Roman" w:eastAsia="宋体" w:cs="宋体"/>
          <w:b/>
          <w:kern w:val="0"/>
          <w:sz w:val="24"/>
          <w:szCs w:val="24"/>
          <w:lang w:eastAsia="zh-TW"/>
        </w:rPr>
      </w:pPr>
      <w:r>
        <w:rPr>
          <w:rFonts w:hint="eastAsia" w:ascii="Times New Roman" w:hAnsi="Times New Roman" w:eastAsia="宋体" w:cs="宋体"/>
          <w:b/>
          <w:kern w:val="0"/>
          <w:sz w:val="24"/>
          <w:szCs w:val="24"/>
        </w:rPr>
        <w:t>《教育传播应用》科目</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1.新媒体在教育中的创新应用</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2.青少年媒体素养教育的对策</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3.教育传播的模式</w:t>
      </w:r>
    </w:p>
    <w:p>
      <w:pPr>
        <w:spacing w:line="360" w:lineRule="auto"/>
        <w:rPr>
          <w:rFonts w:hint="eastAsia" w:ascii="Times New Roman" w:hAnsi="Times New Roman" w:eastAsia="宋体" w:cs="宋体"/>
          <w:b/>
          <w:kern w:val="0"/>
          <w:sz w:val="24"/>
          <w:szCs w:val="24"/>
          <w:lang w:eastAsia="zh-TW"/>
        </w:rPr>
      </w:pPr>
      <w:r>
        <w:rPr>
          <w:rFonts w:hint="eastAsia" w:ascii="Times New Roman" w:hAnsi="Times New Roman" w:eastAsia="宋体" w:cs="宋体"/>
          <w:b/>
          <w:kern w:val="0"/>
          <w:sz w:val="24"/>
          <w:szCs w:val="24"/>
        </w:rPr>
        <w:t>《信息技术应用》科目</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1.了解“互联网+”时代教育信息化发展的特征</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2.熟悉应用于教育领域的新兴技术的内涵、特点与作用</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3.掌握教育技术研究的前沿发展情况，能从研究内容、研究方法、研究进展、推广应用等方面进行述评</w:t>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4.掌握信息化教育教学系统开发与应用的理论、技术、方法等</w:t>
      </w:r>
    </w:p>
    <w:p>
      <w:pPr>
        <w:spacing w:line="360" w:lineRule="auto"/>
        <w:rPr>
          <w:rFonts w:hint="eastAsia" w:ascii="Times New Roman" w:hAnsi="Times New Roman" w:eastAsia="宋体" w:cs="宋体"/>
          <w:sz w:val="24"/>
          <w:szCs w:val="24"/>
        </w:rPr>
      </w:pPr>
    </w:p>
    <w:p>
      <w:pPr>
        <w:spacing w:line="360" w:lineRule="auto"/>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br w:type="page"/>
      </w:r>
    </w:p>
    <w:p>
      <w:pPr>
        <w:spacing w:line="360" w:lineRule="auto"/>
        <w:rPr>
          <w:rFonts w:hint="eastAsia" w:ascii="Times New Roman" w:hAnsi="Times New Roman" w:eastAsia="宋体" w:cs="宋体"/>
          <w:sz w:val="24"/>
          <w:szCs w:val="24"/>
        </w:rPr>
      </w:pPr>
      <w:r>
        <w:rPr>
          <w:rFonts w:hint="eastAsia" w:ascii="Times New Roman" w:hAnsi="Times New Roman" w:eastAsia="宋体" w:cs="宋体"/>
          <w:sz w:val="24"/>
          <w:szCs w:val="24"/>
        </w:rPr>
        <w:t>本学位授权点依托的华南师范大学体育系成立于1951年，是国内成立最早的体育专业之一。20世纪50年代由著名体育理论家方万邦教授创立了体育理论学科。20世纪80年代由林笑峰教授率领的团队进一步拓展，于1985年获得硕士学位授予权，是国内获得硕士学位授权点最早的体育学科之一。 20世纪90年代，在新一代学科带头人邓树勋教授、杨文轩教授、周爱光教授带领下，体育学科全面振兴，是全国唯一首批（1997）和唯一连续三期进入国家“211工程”重点建设的体育学科；是全国首批（2005）获得一级学科博士点和博士后流动站（2003）的四个体育学科之一；2006年获批广东省一级重点学科，其中体育人文社会学于2007年获批国家重点学科（培育）；2015年进入广东省高水平大学学科群建设行列。在2017年教育部第四轮学科评估中获得A-的成绩。学科师资力量雄厚，既拥有国务院学位委员会体育学科评议组成员、享受国务院特殊津贴专家、教育部青年长江学者、广东省珠江学者特聘教授、广东省青年珠江学者等知名专家，也有奥运冠军、世界冠军等优秀教师，现有教授33人，副教授36人；博士生导师15人，硕士生导师48人。导师团队中既有来自国内一流大学的博士，又有来自美国、英国、日本等国世界知名大学的博士。学科秉承岭南文化“严谨治学、求实创新”的传统，注重理论联系实际，在全国范围内拥有重要的学术影响力，整体实力已位居国内体育学科前列。</w:t>
      </w:r>
    </w:p>
    <w:p>
      <w:pPr>
        <w:spacing w:line="360" w:lineRule="auto"/>
        <w:rPr>
          <w:rFonts w:hint="eastAsia" w:ascii="Times New Roman" w:hAnsi="Times New Roman" w:eastAsia="宋体" w:cs="宋体"/>
          <w:b/>
          <w:color w:val="0000FF"/>
          <w:kern w:val="0"/>
          <w:sz w:val="24"/>
          <w:szCs w:val="24"/>
        </w:rPr>
      </w:pPr>
      <w:r>
        <w:rPr>
          <w:rFonts w:hint="eastAsia" w:ascii="Times New Roman" w:hAnsi="Times New Roman" w:eastAsia="宋体" w:cs="宋体"/>
          <w:b/>
          <w:color w:val="0000FF"/>
          <w:kern w:val="0"/>
          <w:sz w:val="24"/>
          <w:szCs w:val="24"/>
        </w:rPr>
        <w:t>040300 体育学</w:t>
      </w:r>
    </w:p>
    <w:p>
      <w:pPr>
        <w:pStyle w:val="3"/>
        <w:spacing w:line="360" w:lineRule="auto"/>
        <w:ind w:left="0" w:leftChars="0"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rPr>
        <w:t>本学科致力于体育学科体系、体育法律问题、竞技运动异化、全民健身运行机制、职业足球改革、体育场馆经营管理、</w:t>
      </w:r>
      <w:r>
        <w:rPr>
          <w:rFonts w:hint="eastAsia" w:ascii="Times New Roman" w:hAnsi="Times New Roman" w:eastAsia="宋体" w:cs="宋体"/>
          <w:bCs/>
          <w:sz w:val="24"/>
          <w:szCs w:val="24"/>
        </w:rPr>
        <w:t>激光运动医学、运动再生医学和运动与慢病防治</w:t>
      </w:r>
      <w:r>
        <w:rPr>
          <w:rFonts w:hint="eastAsia" w:ascii="Times New Roman" w:hAnsi="Times New Roman" w:eastAsia="宋体" w:cs="宋体"/>
          <w:sz w:val="24"/>
          <w:szCs w:val="24"/>
        </w:rPr>
        <w:t>等基本理论与重大实践问题的研究，设置了体育哲学、体育法学、体育原理、体育社会学、学校体育学、</w:t>
      </w:r>
      <w:r>
        <w:rPr>
          <w:rFonts w:hint="eastAsia" w:ascii="Times New Roman" w:hAnsi="Times New Roman" w:eastAsia="宋体" w:cs="宋体"/>
          <w:bCs/>
          <w:sz w:val="24"/>
          <w:szCs w:val="24"/>
        </w:rPr>
        <w:t>激光运动医学、运动再生医学和运动与慢病防治</w:t>
      </w:r>
      <w:r>
        <w:rPr>
          <w:rFonts w:hint="eastAsia" w:ascii="Times New Roman" w:hAnsi="Times New Roman" w:eastAsia="宋体" w:cs="宋体"/>
          <w:sz w:val="24"/>
          <w:szCs w:val="24"/>
        </w:rPr>
        <w:t>等研究方向。本学科注重体育基本理论与实践应用研究，努力培养博士研究生的理论水平和创新能力，旨在提升博士研究生从事体育理论与健康科学研究水平和组织管理的能力。本专业适合各级体育教师、行政人员以及</w:t>
      </w:r>
      <w:r>
        <w:rPr>
          <w:rFonts w:hint="eastAsia" w:ascii="Times New Roman" w:hAnsi="Times New Roman" w:eastAsia="宋体" w:cs="宋体"/>
          <w:bCs/>
          <w:sz w:val="24"/>
          <w:szCs w:val="24"/>
        </w:rPr>
        <w:t>从事健康科学研究的人员</w:t>
      </w:r>
      <w:r>
        <w:rPr>
          <w:rFonts w:hint="eastAsia" w:ascii="Times New Roman" w:hAnsi="Times New Roman" w:eastAsia="宋体" w:cs="宋体"/>
          <w:sz w:val="24"/>
          <w:szCs w:val="24"/>
        </w:rPr>
        <w:t>攻读。</w:t>
      </w:r>
    </w:p>
    <w:p>
      <w:pPr>
        <w:pStyle w:val="3"/>
        <w:spacing w:line="360" w:lineRule="auto"/>
        <w:ind w:left="0" w:leftChars="0"/>
        <w:rPr>
          <w:rFonts w:hint="eastAsia" w:ascii="Times New Roman" w:hAnsi="Times New Roman" w:eastAsia="宋体" w:cs="宋体"/>
          <w:b/>
          <w:sz w:val="24"/>
          <w:szCs w:val="24"/>
        </w:rPr>
      </w:pPr>
      <w:r>
        <w:rPr>
          <w:rFonts w:hint="eastAsia" w:ascii="Times New Roman" w:hAnsi="Times New Roman" w:eastAsia="宋体" w:cs="宋体"/>
          <w:b/>
          <w:sz w:val="24"/>
          <w:szCs w:val="24"/>
        </w:rPr>
        <w:t>考试大纲：</w:t>
      </w:r>
    </w:p>
    <w:p>
      <w:pPr>
        <w:pStyle w:val="3"/>
        <w:spacing w:line="360" w:lineRule="auto"/>
        <w:ind w:left="0" w:leftChars="0"/>
        <w:rPr>
          <w:rFonts w:hint="eastAsia" w:ascii="Times New Roman" w:hAnsi="Times New Roman" w:eastAsia="宋体" w:cs="宋体"/>
          <w:b/>
          <w:sz w:val="24"/>
          <w:szCs w:val="24"/>
          <w:lang w:eastAsia="zh-TW"/>
        </w:rPr>
      </w:pPr>
      <w:r>
        <w:rPr>
          <w:rFonts w:hint="eastAsia" w:ascii="Times New Roman" w:hAnsi="Times New Roman" w:eastAsia="宋体" w:cs="宋体"/>
          <w:b/>
          <w:sz w:val="24"/>
          <w:szCs w:val="24"/>
          <w:lang w:eastAsia="zh-TW"/>
        </w:rPr>
        <w:t>初试考试大纲：</w:t>
      </w:r>
    </w:p>
    <w:p>
      <w:pPr>
        <w:spacing w:line="360" w:lineRule="auto"/>
        <w:rPr>
          <w:rFonts w:hint="eastAsia" w:ascii="Times New Roman" w:hAnsi="Times New Roman" w:eastAsia="宋体" w:cs="宋体"/>
          <w:b/>
          <w:sz w:val="24"/>
          <w:szCs w:val="24"/>
          <w:lang w:eastAsia="zh-TW"/>
        </w:rPr>
      </w:pPr>
      <w:r>
        <w:rPr>
          <w:rFonts w:hint="eastAsia" w:ascii="Times New Roman" w:hAnsi="Times New Roman" w:eastAsia="宋体" w:cs="宋体"/>
          <w:b/>
          <w:sz w:val="24"/>
          <w:szCs w:val="24"/>
          <w:lang w:eastAsia="zh-TW"/>
        </w:rPr>
        <w:t>一、《</w:t>
      </w:r>
      <w:r>
        <w:rPr>
          <w:rFonts w:hint="eastAsia" w:ascii="Times New Roman" w:hAnsi="Times New Roman" w:eastAsia="宋体" w:cs="宋体"/>
          <w:b/>
          <w:color w:val="000000"/>
          <w:sz w:val="24"/>
          <w:szCs w:val="24"/>
          <w:shd w:val="clear" w:color="auto" w:fill="FFFFFF"/>
          <w:lang w:eastAsia="zh-TW"/>
        </w:rPr>
        <w:t>体育概论</w:t>
      </w:r>
      <w:r>
        <w:rPr>
          <w:rFonts w:hint="eastAsia" w:ascii="Times New Roman" w:hAnsi="Times New Roman" w:eastAsia="宋体" w:cs="宋体"/>
          <w:b/>
          <w:sz w:val="24"/>
          <w:szCs w:val="24"/>
          <w:lang w:eastAsia="zh-TW"/>
        </w:rPr>
        <w:t>》科目</w:t>
      </w:r>
    </w:p>
    <w:p>
      <w:pPr>
        <w:numPr>
          <w:ilvl w:val="0"/>
          <w:numId w:val="36"/>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体育概念与体育本质；</w:t>
      </w:r>
    </w:p>
    <w:p>
      <w:pPr>
        <w:numPr>
          <w:ilvl w:val="0"/>
          <w:numId w:val="36"/>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体育功能与体育目的；</w:t>
      </w:r>
    </w:p>
    <w:p>
      <w:pPr>
        <w:numPr>
          <w:ilvl w:val="0"/>
          <w:numId w:val="36"/>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体育过程与体育手段；</w:t>
      </w:r>
    </w:p>
    <w:p>
      <w:pPr>
        <w:numPr>
          <w:ilvl w:val="0"/>
          <w:numId w:val="36"/>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体育文化与体育科学；</w:t>
      </w:r>
    </w:p>
    <w:p>
      <w:pPr>
        <w:numPr>
          <w:ilvl w:val="0"/>
          <w:numId w:val="36"/>
        </w:numPr>
        <w:spacing w:line="360" w:lineRule="auto"/>
        <w:jc w:val="left"/>
        <w:rPr>
          <w:rFonts w:hint="eastAsia" w:ascii="Times New Roman" w:hAnsi="Times New Roman" w:eastAsia="宋体" w:cs="宋体"/>
          <w:bCs/>
          <w:sz w:val="24"/>
          <w:szCs w:val="24"/>
        </w:rPr>
      </w:pPr>
      <w:r>
        <w:rPr>
          <w:rFonts w:hint="eastAsia" w:ascii="Times New Roman" w:hAnsi="Times New Roman" w:eastAsia="宋体" w:cs="宋体"/>
          <w:bCs/>
          <w:sz w:val="24"/>
          <w:szCs w:val="24"/>
          <w:lang w:eastAsia="zh-TW"/>
        </w:rPr>
        <w:t>体育管理与体育制度</w:t>
      </w:r>
      <w:r>
        <w:rPr>
          <w:rFonts w:hint="eastAsia" w:ascii="Times New Roman" w:hAnsi="Times New Roman" w:eastAsia="宋体" w:cs="宋体"/>
          <w:bCs/>
          <w:sz w:val="24"/>
          <w:szCs w:val="24"/>
        </w:rPr>
        <w:t>；</w:t>
      </w:r>
    </w:p>
    <w:p>
      <w:pPr>
        <w:numPr>
          <w:ilvl w:val="0"/>
          <w:numId w:val="36"/>
        </w:numPr>
        <w:spacing w:line="360" w:lineRule="auto"/>
        <w:jc w:val="left"/>
        <w:rPr>
          <w:rFonts w:hint="eastAsia" w:ascii="Times New Roman" w:hAnsi="Times New Roman" w:eastAsia="宋体" w:cs="宋体"/>
          <w:bCs/>
          <w:sz w:val="24"/>
          <w:szCs w:val="24"/>
        </w:rPr>
      </w:pPr>
      <w:r>
        <w:rPr>
          <w:rFonts w:hint="eastAsia" w:ascii="Times New Roman" w:hAnsi="Times New Roman" w:eastAsia="宋体" w:cs="宋体"/>
          <w:bCs/>
          <w:sz w:val="24"/>
          <w:szCs w:val="24"/>
        </w:rPr>
        <w:t>体育科学的研究方法。</w:t>
      </w:r>
    </w:p>
    <w:p>
      <w:pPr>
        <w:spacing w:line="360" w:lineRule="auto"/>
        <w:jc w:val="left"/>
        <w:rPr>
          <w:rFonts w:hint="eastAsia" w:ascii="Times New Roman" w:hAnsi="Times New Roman" w:eastAsia="宋体" w:cs="宋体"/>
          <w:b/>
          <w:sz w:val="24"/>
          <w:szCs w:val="24"/>
          <w:lang w:eastAsia="zh-TW"/>
        </w:rPr>
      </w:pPr>
      <w:r>
        <w:rPr>
          <w:rFonts w:hint="eastAsia" w:ascii="Times New Roman" w:hAnsi="Times New Roman" w:eastAsia="宋体" w:cs="宋体"/>
          <w:b/>
          <w:sz w:val="24"/>
          <w:szCs w:val="24"/>
        </w:rPr>
        <w:t>二、</w:t>
      </w:r>
      <w:r>
        <w:rPr>
          <w:rFonts w:hint="eastAsia" w:ascii="Times New Roman" w:hAnsi="Times New Roman" w:eastAsia="宋体" w:cs="宋体"/>
          <w:b/>
          <w:sz w:val="24"/>
          <w:szCs w:val="24"/>
          <w:lang w:eastAsia="zh-TW"/>
        </w:rPr>
        <w:t>《</w:t>
      </w:r>
      <w:r>
        <w:rPr>
          <w:rFonts w:hint="eastAsia" w:ascii="Times New Roman" w:hAnsi="Times New Roman" w:eastAsia="宋体" w:cs="宋体"/>
          <w:b/>
          <w:color w:val="000000"/>
          <w:sz w:val="24"/>
          <w:szCs w:val="24"/>
          <w:shd w:val="clear" w:color="auto" w:fill="FFFFFF"/>
        </w:rPr>
        <w:t>运动生理学</w:t>
      </w:r>
      <w:r>
        <w:rPr>
          <w:rFonts w:hint="eastAsia" w:ascii="Times New Roman" w:hAnsi="Times New Roman" w:eastAsia="宋体" w:cs="宋体"/>
          <w:b/>
          <w:sz w:val="24"/>
          <w:szCs w:val="24"/>
          <w:lang w:eastAsia="zh-TW"/>
        </w:rPr>
        <w:t>》科目</w:t>
      </w:r>
    </w:p>
    <w:p>
      <w:pPr>
        <w:numPr>
          <w:ilvl w:val="0"/>
          <w:numId w:val="37"/>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运动时的能量代谢；</w:t>
      </w:r>
    </w:p>
    <w:p>
      <w:pPr>
        <w:numPr>
          <w:ilvl w:val="0"/>
          <w:numId w:val="37"/>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肌肉活动；</w:t>
      </w:r>
    </w:p>
    <w:p>
      <w:pPr>
        <w:numPr>
          <w:ilvl w:val="0"/>
          <w:numId w:val="37"/>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躯体运动的神经控制；</w:t>
      </w:r>
    </w:p>
    <w:p>
      <w:pPr>
        <w:numPr>
          <w:ilvl w:val="0"/>
          <w:numId w:val="37"/>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运动与内分泌；</w:t>
      </w:r>
    </w:p>
    <w:p>
      <w:pPr>
        <w:numPr>
          <w:ilvl w:val="0"/>
          <w:numId w:val="37"/>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血液；</w:t>
      </w:r>
    </w:p>
    <w:p>
      <w:pPr>
        <w:numPr>
          <w:ilvl w:val="0"/>
          <w:numId w:val="37"/>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呼吸；</w:t>
      </w:r>
    </w:p>
    <w:p>
      <w:pPr>
        <w:numPr>
          <w:ilvl w:val="0"/>
          <w:numId w:val="37"/>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血液循环；</w:t>
      </w:r>
    </w:p>
    <w:p>
      <w:pPr>
        <w:numPr>
          <w:ilvl w:val="0"/>
          <w:numId w:val="37"/>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免疫与运动；</w:t>
      </w:r>
    </w:p>
    <w:p>
      <w:pPr>
        <w:numPr>
          <w:ilvl w:val="0"/>
          <w:numId w:val="37"/>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肌肉力量；</w:t>
      </w:r>
    </w:p>
    <w:p>
      <w:pPr>
        <w:numPr>
          <w:ilvl w:val="0"/>
          <w:numId w:val="37"/>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有氧工作能力；</w:t>
      </w:r>
    </w:p>
    <w:p>
      <w:pPr>
        <w:numPr>
          <w:ilvl w:val="0"/>
          <w:numId w:val="37"/>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速度和无氧耐力；</w:t>
      </w:r>
    </w:p>
    <w:p>
      <w:pPr>
        <w:numPr>
          <w:ilvl w:val="0"/>
          <w:numId w:val="37"/>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平衡、灵敏与柔韧；</w:t>
      </w:r>
    </w:p>
    <w:p>
      <w:pPr>
        <w:numPr>
          <w:ilvl w:val="0"/>
          <w:numId w:val="37"/>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运动过程中人体机能变化规律；</w:t>
      </w:r>
    </w:p>
    <w:p>
      <w:pPr>
        <w:numPr>
          <w:ilvl w:val="0"/>
          <w:numId w:val="37"/>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运动技能学习；</w:t>
      </w:r>
    </w:p>
    <w:p>
      <w:pPr>
        <w:numPr>
          <w:ilvl w:val="0"/>
          <w:numId w:val="37"/>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肥胖与体重控制；</w:t>
      </w:r>
    </w:p>
    <w:p>
      <w:pPr>
        <w:numPr>
          <w:ilvl w:val="0"/>
          <w:numId w:val="37"/>
        </w:numPr>
        <w:spacing w:line="360" w:lineRule="auto"/>
        <w:jc w:val="left"/>
        <w:rPr>
          <w:rFonts w:hint="eastAsia" w:ascii="Times New Roman" w:hAnsi="Times New Roman" w:eastAsia="宋体" w:cs="宋体"/>
          <w:bCs/>
          <w:sz w:val="24"/>
          <w:szCs w:val="24"/>
          <w:lang w:eastAsia="zh-TW"/>
        </w:rPr>
      </w:pPr>
      <w:r>
        <w:rPr>
          <w:rFonts w:hint="eastAsia" w:ascii="Times New Roman" w:hAnsi="Times New Roman" w:eastAsia="宋体" w:cs="宋体"/>
          <w:bCs/>
          <w:sz w:val="24"/>
          <w:szCs w:val="24"/>
          <w:lang w:eastAsia="zh-TW"/>
        </w:rPr>
        <w:t>体适能与运动处方；</w:t>
      </w:r>
    </w:p>
    <w:p>
      <w:pPr>
        <w:numPr>
          <w:ilvl w:val="0"/>
          <w:numId w:val="37"/>
        </w:numPr>
        <w:spacing w:line="360" w:lineRule="auto"/>
        <w:jc w:val="left"/>
        <w:rPr>
          <w:rFonts w:hint="eastAsia" w:ascii="Times New Roman" w:hAnsi="Times New Roman" w:eastAsia="宋体" w:cs="宋体"/>
          <w:bCs/>
          <w:sz w:val="24"/>
          <w:szCs w:val="24"/>
        </w:rPr>
      </w:pPr>
      <w:r>
        <w:rPr>
          <w:rFonts w:hint="eastAsia" w:ascii="Times New Roman" w:hAnsi="Times New Roman" w:eastAsia="宋体" w:cs="宋体"/>
          <w:bCs/>
          <w:sz w:val="24"/>
          <w:szCs w:val="24"/>
          <w:lang w:eastAsia="zh-TW"/>
        </w:rPr>
        <w:t>年龄性别与运动</w:t>
      </w:r>
      <w:r>
        <w:rPr>
          <w:rFonts w:hint="eastAsia" w:ascii="Times New Roman" w:hAnsi="Times New Roman" w:eastAsia="宋体" w:cs="宋体"/>
          <w:bCs/>
          <w:sz w:val="24"/>
          <w:szCs w:val="24"/>
        </w:rPr>
        <w:t>；</w:t>
      </w:r>
    </w:p>
    <w:p>
      <w:pPr>
        <w:numPr>
          <w:ilvl w:val="0"/>
          <w:numId w:val="37"/>
        </w:numPr>
        <w:spacing w:line="360" w:lineRule="auto"/>
        <w:jc w:val="left"/>
        <w:rPr>
          <w:rFonts w:hint="eastAsia" w:ascii="Times New Roman" w:hAnsi="Times New Roman" w:eastAsia="宋体" w:cs="宋体"/>
          <w:bCs/>
          <w:sz w:val="24"/>
          <w:szCs w:val="24"/>
        </w:rPr>
      </w:pPr>
      <w:r>
        <w:rPr>
          <w:rFonts w:hint="eastAsia" w:ascii="Times New Roman" w:hAnsi="Times New Roman" w:eastAsia="宋体" w:cs="宋体"/>
          <w:bCs/>
          <w:sz w:val="24"/>
          <w:szCs w:val="24"/>
          <w:lang w:eastAsia="zh-TW"/>
        </w:rPr>
        <w:t>内稳态与体检</w:t>
      </w:r>
      <w:r>
        <w:rPr>
          <w:rFonts w:hint="eastAsia" w:ascii="Times New Roman" w:hAnsi="Times New Roman" w:eastAsia="宋体" w:cs="宋体"/>
          <w:bCs/>
          <w:sz w:val="24"/>
          <w:szCs w:val="24"/>
        </w:rPr>
        <w:t>；</w:t>
      </w:r>
    </w:p>
    <w:p>
      <w:pPr>
        <w:numPr>
          <w:ilvl w:val="0"/>
          <w:numId w:val="37"/>
        </w:numPr>
        <w:spacing w:line="360" w:lineRule="auto"/>
        <w:jc w:val="left"/>
        <w:rPr>
          <w:rFonts w:hint="eastAsia" w:ascii="Times New Roman" w:hAnsi="Times New Roman" w:eastAsia="宋体" w:cs="宋体"/>
          <w:bCs/>
          <w:sz w:val="24"/>
          <w:szCs w:val="24"/>
        </w:rPr>
      </w:pPr>
      <w:r>
        <w:rPr>
          <w:rFonts w:hint="eastAsia" w:ascii="Times New Roman" w:hAnsi="Times New Roman" w:eastAsia="宋体" w:cs="宋体"/>
          <w:bCs/>
          <w:sz w:val="24"/>
          <w:szCs w:val="24"/>
          <w:lang w:eastAsia="zh-TW"/>
        </w:rPr>
        <w:t>功能内稳态与运动训练</w:t>
      </w:r>
      <w:r>
        <w:rPr>
          <w:rFonts w:hint="eastAsia" w:ascii="Times New Roman" w:hAnsi="Times New Roman" w:eastAsia="宋体" w:cs="宋体"/>
          <w:bCs/>
          <w:sz w:val="24"/>
          <w:szCs w:val="24"/>
        </w:rPr>
        <w:t>；</w:t>
      </w:r>
    </w:p>
    <w:p>
      <w:pPr>
        <w:numPr>
          <w:ilvl w:val="0"/>
          <w:numId w:val="37"/>
        </w:numPr>
        <w:spacing w:line="360" w:lineRule="auto"/>
        <w:jc w:val="left"/>
        <w:rPr>
          <w:rFonts w:hint="eastAsia" w:ascii="Times New Roman" w:hAnsi="Times New Roman" w:eastAsia="宋体" w:cs="宋体"/>
          <w:bCs/>
          <w:sz w:val="24"/>
          <w:szCs w:val="24"/>
        </w:rPr>
      </w:pPr>
      <w:r>
        <w:rPr>
          <w:rFonts w:hint="eastAsia" w:ascii="Times New Roman" w:hAnsi="Times New Roman" w:eastAsia="宋体" w:cs="宋体"/>
          <w:bCs/>
          <w:sz w:val="24"/>
          <w:szCs w:val="24"/>
          <w:lang w:eastAsia="zh-TW"/>
        </w:rPr>
        <w:t>自相似与运动监测</w:t>
      </w:r>
      <w:r>
        <w:rPr>
          <w:rFonts w:hint="eastAsia" w:ascii="Times New Roman" w:hAnsi="Times New Roman" w:eastAsia="宋体" w:cs="宋体"/>
          <w:bCs/>
          <w:sz w:val="24"/>
          <w:szCs w:val="24"/>
        </w:rPr>
        <w:t>。</w:t>
      </w:r>
    </w:p>
    <w:p>
      <w:pPr>
        <w:spacing w:line="360" w:lineRule="auto"/>
        <w:rPr>
          <w:rFonts w:hint="eastAsia" w:ascii="Times New Roman" w:hAnsi="Times New Roman" w:eastAsia="宋体" w:cs="宋体"/>
          <w:sz w:val="24"/>
          <w:szCs w:val="24"/>
        </w:rPr>
      </w:pPr>
    </w:p>
    <w:p>
      <w:pPr>
        <w:spacing w:line="360" w:lineRule="auto"/>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br w:type="page"/>
      </w:r>
    </w:p>
    <w:p>
      <w:pPr>
        <w:spacing w:line="360" w:lineRule="auto"/>
        <w:rPr>
          <w:rFonts w:hint="eastAsia" w:ascii="Times New Roman" w:hAnsi="Times New Roman" w:eastAsia="宋体" w:cs="宋体"/>
          <w:b/>
          <w:color w:val="0000FF"/>
          <w:kern w:val="0"/>
          <w:sz w:val="24"/>
          <w:szCs w:val="24"/>
          <w:lang w:eastAsia="zh-CN"/>
        </w:rPr>
      </w:pPr>
      <w:r>
        <w:rPr>
          <w:rFonts w:hint="eastAsia" w:ascii="Times New Roman" w:hAnsi="Times New Roman" w:eastAsia="宋体" w:cs="宋体"/>
          <w:b/>
          <w:color w:val="0000FF"/>
          <w:kern w:val="0"/>
          <w:sz w:val="24"/>
          <w:szCs w:val="24"/>
        </w:rPr>
        <w:t>0</w:t>
      </w:r>
      <w:r>
        <w:rPr>
          <w:rFonts w:hint="eastAsia" w:ascii="Times New Roman" w:hAnsi="Times New Roman" w:eastAsia="宋体" w:cs="宋体"/>
          <w:b/>
          <w:color w:val="0000FF"/>
          <w:kern w:val="0"/>
          <w:sz w:val="24"/>
          <w:szCs w:val="24"/>
          <w:lang w:val="en-US" w:eastAsia="zh-CN"/>
        </w:rPr>
        <w:t>83500</w:t>
      </w:r>
      <w:r>
        <w:rPr>
          <w:rFonts w:hint="eastAsia" w:ascii="Times New Roman" w:hAnsi="Times New Roman" w:eastAsia="宋体" w:cs="宋体"/>
          <w:b/>
          <w:color w:val="0000FF"/>
          <w:kern w:val="0"/>
          <w:sz w:val="24"/>
          <w:szCs w:val="24"/>
        </w:rPr>
        <w:t xml:space="preserve"> </w:t>
      </w:r>
      <w:r>
        <w:rPr>
          <w:rFonts w:hint="eastAsia" w:ascii="Times New Roman" w:hAnsi="Times New Roman" w:eastAsia="宋体" w:cs="宋体"/>
          <w:b/>
          <w:color w:val="0000FF"/>
          <w:kern w:val="0"/>
          <w:sz w:val="24"/>
          <w:szCs w:val="24"/>
          <w:lang w:eastAsia="zh-CN"/>
        </w:rPr>
        <w:t>软件工程</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本专业师资力量雄厚，现有教授2</w:t>
      </w:r>
      <w:r>
        <w:rPr>
          <w:rFonts w:hint="eastAsia" w:ascii="Times New Roman" w:hAnsi="Times New Roman" w:eastAsia="宋体" w:cs="宋体"/>
          <w:sz w:val="24"/>
          <w:szCs w:val="24"/>
          <w:lang w:val="en-US" w:eastAsia="zh-CN"/>
        </w:rPr>
        <w:t>1</w:t>
      </w:r>
      <w:r>
        <w:rPr>
          <w:rFonts w:hint="eastAsia" w:ascii="Times New Roman" w:hAnsi="Times New Roman" w:eastAsia="宋体" w:cs="宋体"/>
          <w:sz w:val="24"/>
          <w:szCs w:val="24"/>
        </w:rPr>
        <w:t>人，副教授2</w:t>
      </w:r>
      <w:r>
        <w:rPr>
          <w:rFonts w:hint="eastAsia" w:ascii="Times New Roman" w:hAnsi="Times New Roman" w:eastAsia="宋体" w:cs="宋体"/>
          <w:sz w:val="24"/>
          <w:szCs w:val="24"/>
          <w:lang w:val="en-US" w:eastAsia="zh-CN"/>
        </w:rPr>
        <w:t>3</w:t>
      </w:r>
      <w:r>
        <w:rPr>
          <w:rFonts w:hint="eastAsia" w:ascii="Times New Roman" w:hAnsi="Times New Roman" w:eastAsia="宋体" w:cs="宋体"/>
          <w:sz w:val="24"/>
          <w:szCs w:val="24"/>
        </w:rPr>
        <w:t>人，旨在培养软件工程等学科领域从事软件工程理论研究、软件工程设计与开发等方面的高级专门人才。本专业要求学生既要全面、系统地掌握软件工程、计算机科学与技术等学科领域的基础理论知识，能独立开展软件工程和计算机科学与技术的研究；还要求学生分析与开发能力强、富有创新精神，具备适应二十一世纪软件工程和计算机科学与技术发展需要的综合业务素质。</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本专业面向港澳台招生，招生的主要专业方向有软件工程理论与方法、数据库理论与数据科学、社交网络与协同软件、大数据应用技术、智能软件与人工智能、云计算与软件服务工程技术。</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本专业采用课堂教学与自学辅导相结合，系统的专业理论知识学习与科学研究相结合、导师个人负责与指导组集体培养相结合，学位课程学习与学位论文并重的教学和培养方法。开设的主要专业课程有：软件工程理论基础、软件工程数学基础、数据库理论、社会网络计算、人工智能等。</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sz w:val="24"/>
          <w:szCs w:val="24"/>
        </w:rPr>
        <w:t>本专业学生毕业后可在科研、教育、大中型企业、事业、技术和行政管理部门等单位从事软件工程理论研究与教学、软件工程应用技术研究与开发、软件工程项目管理与评估等工作。</w:t>
      </w:r>
    </w:p>
    <w:p>
      <w:pPr>
        <w:pStyle w:val="3"/>
        <w:keepNext w:val="0"/>
        <w:keepLines w:val="0"/>
        <w:pageBreakBefore w:val="0"/>
        <w:kinsoku/>
        <w:wordWrap/>
        <w:overflowPunct/>
        <w:topLinePunct w:val="0"/>
        <w:autoSpaceDE/>
        <w:autoSpaceDN/>
        <w:bidi w:val="0"/>
        <w:spacing w:line="360" w:lineRule="auto"/>
        <w:ind w:left="0" w:leftChars="0"/>
        <w:textAlignment w:val="auto"/>
        <w:rPr>
          <w:rFonts w:hint="eastAsia" w:ascii="Times New Roman" w:hAnsi="Times New Roman" w:eastAsia="宋体" w:cs="宋体"/>
          <w:b/>
          <w:sz w:val="24"/>
          <w:szCs w:val="24"/>
        </w:rPr>
      </w:pPr>
      <w:r>
        <w:rPr>
          <w:rFonts w:hint="eastAsia" w:ascii="Times New Roman" w:hAnsi="Times New Roman" w:eastAsia="宋体" w:cs="宋体"/>
          <w:b/>
          <w:sz w:val="24"/>
          <w:szCs w:val="24"/>
        </w:rPr>
        <w:t>考试大纲：</w:t>
      </w:r>
    </w:p>
    <w:p>
      <w:pPr>
        <w:keepNext w:val="0"/>
        <w:keepLines w:val="0"/>
        <w:pageBreakBefore w:val="0"/>
        <w:widowControl/>
        <w:kinsoku/>
        <w:wordWrap/>
        <w:overflowPunct/>
        <w:topLinePunct w:val="0"/>
        <w:autoSpaceDE/>
        <w:autoSpaceDN/>
        <w:bidi w:val="0"/>
        <w:adjustRightInd w:val="0"/>
        <w:snapToGrid w:val="0"/>
        <w:spacing w:before="156" w:after="156" w:line="360" w:lineRule="auto"/>
        <w:ind w:firstLine="482" w:firstLineChars="200"/>
        <w:jc w:val="left"/>
        <w:textAlignment w:val="auto"/>
        <w:outlineLvl w:val="0"/>
        <w:rPr>
          <w:rFonts w:hint="eastAsia" w:ascii="Times New Roman" w:hAnsi="Times New Roman" w:eastAsia="宋体" w:cs="宋体"/>
          <w:b/>
          <w:bCs/>
          <w:color w:val="000000"/>
          <w:kern w:val="0"/>
          <w:sz w:val="24"/>
          <w:szCs w:val="24"/>
          <w:lang w:eastAsia="zh-TW"/>
        </w:rPr>
      </w:pPr>
      <w:r>
        <w:rPr>
          <w:rFonts w:hint="eastAsia" w:ascii="Times New Roman" w:hAnsi="Times New Roman" w:eastAsia="宋体" w:cs="宋体"/>
          <w:b/>
          <w:kern w:val="0"/>
          <w:sz w:val="24"/>
          <w:szCs w:val="24"/>
        </w:rPr>
        <w:t>《软件技术基础（离散数学、算法设计）》</w:t>
      </w:r>
      <w:r>
        <w:rPr>
          <w:rFonts w:hint="eastAsia" w:ascii="Times New Roman" w:hAnsi="Times New Roman" w:eastAsia="宋体" w:cs="宋体"/>
          <w:b/>
          <w:bCs/>
          <w:color w:val="000000"/>
          <w:kern w:val="0"/>
          <w:sz w:val="24"/>
          <w:szCs w:val="24"/>
        </w:rPr>
        <w:t>科目</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outlineLvl w:val="1"/>
        <w:rPr>
          <w:rFonts w:hint="eastAsia" w:ascii="Times New Roman" w:hAnsi="Times New Roman" w:eastAsia="宋体" w:cs="宋体"/>
          <w:b/>
          <w:bCs/>
          <w:color w:val="000000"/>
          <w:kern w:val="36"/>
          <w:sz w:val="24"/>
          <w:szCs w:val="24"/>
          <w:lang w:eastAsia="zh-TW"/>
        </w:rPr>
      </w:pPr>
      <w:r>
        <w:rPr>
          <w:rFonts w:hint="eastAsia" w:ascii="Times New Roman" w:hAnsi="Times New Roman" w:eastAsia="宋体" w:cs="宋体"/>
          <w:color w:val="000000"/>
          <w:kern w:val="0"/>
          <w:sz w:val="24"/>
          <w:szCs w:val="24"/>
        </w:rPr>
        <w:t> </w:t>
      </w:r>
      <w:r>
        <w:rPr>
          <w:rFonts w:hint="eastAsia" w:ascii="Times New Roman" w:hAnsi="Times New Roman" w:eastAsia="宋体" w:cs="宋体"/>
          <w:b/>
          <w:bCs/>
          <w:color w:val="000000"/>
          <w:kern w:val="36"/>
          <w:sz w:val="24"/>
          <w:szCs w:val="24"/>
        </w:rPr>
        <w:t>【考查</w:t>
      </w:r>
      <w:r>
        <w:rPr>
          <w:rFonts w:hint="eastAsia" w:ascii="Times New Roman" w:hAnsi="Times New Roman" w:eastAsia="宋体" w:cs="宋体"/>
          <w:b/>
          <w:bCs/>
          <w:color w:val="000000"/>
          <w:kern w:val="36"/>
          <w:sz w:val="24"/>
          <w:szCs w:val="24"/>
          <w:cs/>
        </w:rPr>
        <w:t>内</w:t>
      </w:r>
      <w:r>
        <w:rPr>
          <w:rFonts w:hint="eastAsia" w:ascii="Times New Roman" w:hAnsi="Times New Roman" w:eastAsia="宋体" w:cs="宋体"/>
          <w:b/>
          <w:bCs/>
          <w:color w:val="000000"/>
          <w:kern w:val="36"/>
          <w:sz w:val="24"/>
          <w:szCs w:val="24"/>
        </w:rPr>
        <w:t>容】</w:t>
      </w:r>
    </w:p>
    <w:p>
      <w:pPr>
        <w:keepNext w:val="0"/>
        <w:keepLines w:val="0"/>
        <w:pageBreakBefore w:val="0"/>
        <w:widowControl/>
        <w:numPr>
          <w:ilvl w:val="0"/>
          <w:numId w:val="38"/>
        </w:numPr>
        <w:kinsoku/>
        <w:wordWrap/>
        <w:overflowPunct/>
        <w:topLinePunct w:val="0"/>
        <w:autoSpaceDE/>
        <w:autoSpaceDN/>
        <w:bidi w:val="0"/>
        <w:adjustRightInd w:val="0"/>
        <w:snapToGrid w:val="0"/>
        <w:spacing w:line="360" w:lineRule="auto"/>
        <w:textAlignment w:val="auto"/>
        <w:rPr>
          <w:rFonts w:hint="eastAsia" w:ascii="Times New Roman" w:hAnsi="Times New Roman" w:eastAsia="宋体" w:cs="宋体"/>
          <w:b/>
          <w:color w:val="000000"/>
          <w:kern w:val="0"/>
          <w:sz w:val="24"/>
          <w:szCs w:val="24"/>
        </w:rPr>
      </w:pPr>
      <w:r>
        <w:rPr>
          <w:rFonts w:hint="eastAsia" w:ascii="Times New Roman" w:hAnsi="Times New Roman" w:eastAsia="宋体" w:cs="宋体"/>
          <w:b/>
          <w:color w:val="000000"/>
          <w:kern w:val="0"/>
          <w:sz w:val="24"/>
          <w:szCs w:val="24"/>
        </w:rPr>
        <w:t>离散数学基本理论</w:t>
      </w:r>
    </w:p>
    <w:p>
      <w:pPr>
        <w:keepNext w:val="0"/>
        <w:keepLines w:val="0"/>
        <w:pageBreakBefore w:val="0"/>
        <w:widowControl/>
        <w:numPr>
          <w:ilvl w:val="1"/>
          <w:numId w:val="39"/>
        </w:numPr>
        <w:kinsoku/>
        <w:wordWrap/>
        <w:overflowPunct/>
        <w:topLinePunct w:val="0"/>
        <w:autoSpaceDE/>
        <w:autoSpaceDN/>
        <w:bidi w:val="0"/>
        <w:adjustRightInd w:val="0"/>
        <w:snapToGrid w:val="0"/>
        <w:spacing w:line="360"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命题逻辑理论与推理</w:t>
      </w:r>
    </w:p>
    <w:p>
      <w:pPr>
        <w:keepNext w:val="0"/>
        <w:keepLines w:val="0"/>
        <w:pageBreakBefore w:val="0"/>
        <w:widowControl/>
        <w:numPr>
          <w:ilvl w:val="1"/>
          <w:numId w:val="39"/>
        </w:numPr>
        <w:kinsoku/>
        <w:wordWrap/>
        <w:overflowPunct/>
        <w:topLinePunct w:val="0"/>
        <w:autoSpaceDE/>
        <w:autoSpaceDN/>
        <w:bidi w:val="0"/>
        <w:adjustRightInd w:val="0"/>
        <w:snapToGrid w:val="0"/>
        <w:spacing w:line="360"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一阶逻辑理论与推理</w:t>
      </w:r>
    </w:p>
    <w:p>
      <w:pPr>
        <w:keepNext w:val="0"/>
        <w:keepLines w:val="0"/>
        <w:pageBreakBefore w:val="0"/>
        <w:widowControl/>
        <w:numPr>
          <w:ilvl w:val="1"/>
          <w:numId w:val="39"/>
        </w:numPr>
        <w:kinsoku/>
        <w:wordWrap/>
        <w:overflowPunct/>
        <w:topLinePunct w:val="0"/>
        <w:autoSpaceDE/>
        <w:autoSpaceDN/>
        <w:bidi w:val="0"/>
        <w:adjustRightInd w:val="0"/>
        <w:snapToGrid w:val="0"/>
        <w:spacing w:line="360" w:lineRule="auto"/>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集合代数理论</w:t>
      </w:r>
    </w:p>
    <w:p>
      <w:pPr>
        <w:keepNext w:val="0"/>
        <w:keepLines w:val="0"/>
        <w:pageBreakBefore w:val="0"/>
        <w:widowControl/>
        <w:kinsoku/>
        <w:wordWrap/>
        <w:overflowPunct/>
        <w:topLinePunct w:val="0"/>
        <w:autoSpaceDE/>
        <w:autoSpaceDN/>
        <w:bidi w:val="0"/>
        <w:adjustRightInd w:val="0"/>
        <w:snapToGrid w:val="0"/>
        <w:spacing w:line="360" w:lineRule="auto"/>
        <w:ind w:left="420"/>
        <w:textAlignment w:val="auto"/>
        <w:rPr>
          <w:rFonts w:hint="eastAsia" w:ascii="Times New Roman" w:hAnsi="Times New Roman" w:eastAsia="宋体" w:cs="宋体"/>
          <w:b/>
          <w:color w:val="000000"/>
          <w:kern w:val="0"/>
          <w:sz w:val="24"/>
          <w:szCs w:val="24"/>
        </w:rPr>
      </w:pPr>
      <w:r>
        <w:rPr>
          <w:rFonts w:hint="eastAsia" w:ascii="Times New Roman" w:hAnsi="Times New Roman" w:eastAsia="宋体" w:cs="宋体"/>
          <w:b/>
          <w:color w:val="000000"/>
          <w:kern w:val="0"/>
          <w:sz w:val="24"/>
          <w:szCs w:val="24"/>
        </w:rPr>
        <w:t>2. 代数系统、图和树</w:t>
      </w:r>
    </w:p>
    <w:p>
      <w:pPr>
        <w:keepNext w:val="0"/>
        <w:keepLines w:val="0"/>
        <w:pageBreakBefore w:val="0"/>
        <w:widowControl/>
        <w:kinsoku/>
        <w:wordWrap/>
        <w:overflowPunct/>
        <w:topLinePunct w:val="0"/>
        <w:autoSpaceDE/>
        <w:autoSpaceDN/>
        <w:bidi w:val="0"/>
        <w:adjustRightInd w:val="0"/>
        <w:snapToGrid w:val="0"/>
        <w:spacing w:line="360" w:lineRule="auto"/>
        <w:ind w:left="42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2.1 代数系统基本概念、欧拉图、哈米尔顿图特征</w:t>
      </w:r>
    </w:p>
    <w:p>
      <w:pPr>
        <w:keepNext w:val="0"/>
        <w:keepLines w:val="0"/>
        <w:pageBreakBefore w:val="0"/>
        <w:widowControl/>
        <w:kinsoku/>
        <w:wordWrap/>
        <w:overflowPunct/>
        <w:topLinePunct w:val="0"/>
        <w:autoSpaceDE/>
        <w:autoSpaceDN/>
        <w:bidi w:val="0"/>
        <w:adjustRightInd w:val="0"/>
        <w:snapToGrid w:val="0"/>
        <w:spacing w:line="360" w:lineRule="auto"/>
        <w:ind w:left="42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2.2 拉格朗日定理及应用、最优二叉树、最短路径的求解、格的判断</w:t>
      </w:r>
    </w:p>
    <w:p>
      <w:pPr>
        <w:keepNext w:val="0"/>
        <w:keepLines w:val="0"/>
        <w:pageBreakBefore w:val="0"/>
        <w:widowControl/>
        <w:kinsoku/>
        <w:wordWrap/>
        <w:overflowPunct/>
        <w:topLinePunct w:val="0"/>
        <w:autoSpaceDE/>
        <w:autoSpaceDN/>
        <w:bidi w:val="0"/>
        <w:adjustRightInd w:val="0"/>
        <w:snapToGrid w:val="0"/>
        <w:spacing w:line="360" w:lineRule="auto"/>
        <w:ind w:left="42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2.3 群、半群、循环群、环的证明，图的性质证明</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宋体"/>
          <w:b/>
          <w:color w:val="000000"/>
          <w:kern w:val="0"/>
          <w:sz w:val="24"/>
          <w:szCs w:val="24"/>
        </w:rPr>
      </w:pPr>
      <w:r>
        <w:rPr>
          <w:rFonts w:hint="eastAsia" w:ascii="Times New Roman" w:hAnsi="Times New Roman" w:eastAsia="宋体" w:cs="宋体"/>
          <w:b/>
          <w:color w:val="000000"/>
          <w:kern w:val="0"/>
          <w:sz w:val="24"/>
          <w:szCs w:val="24"/>
        </w:rPr>
        <w:t>3. 算法设计与分析基础理论</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3.1 算法及其复杂性</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3.2 算法分析的基本技术</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3.3 算法设计的基本方法</w:t>
      </w:r>
    </w:p>
    <w:p>
      <w:pPr>
        <w:keepNext w:val="0"/>
        <w:keepLines w:val="0"/>
        <w:pageBreakBefore w:val="0"/>
        <w:widowControl/>
        <w:kinsoku/>
        <w:wordWrap/>
        <w:overflowPunct/>
        <w:topLinePunct w:val="0"/>
        <w:autoSpaceDE/>
        <w:autoSpaceDN/>
        <w:bidi w:val="0"/>
        <w:adjustRightInd w:val="0"/>
        <w:snapToGrid w:val="0"/>
        <w:spacing w:line="360" w:lineRule="auto"/>
        <w:ind w:firstLine="440"/>
        <w:textAlignment w:val="auto"/>
        <w:rPr>
          <w:rFonts w:hint="eastAsia" w:ascii="Times New Roman" w:hAnsi="Times New Roman" w:eastAsia="宋体" w:cs="宋体"/>
          <w:b/>
          <w:color w:val="000000"/>
          <w:kern w:val="0"/>
          <w:sz w:val="24"/>
          <w:szCs w:val="24"/>
        </w:rPr>
      </w:pPr>
      <w:r>
        <w:rPr>
          <w:rFonts w:hint="eastAsia" w:ascii="Times New Roman" w:hAnsi="Times New Roman" w:eastAsia="宋体" w:cs="宋体"/>
          <w:b/>
          <w:color w:val="000000"/>
          <w:kern w:val="0"/>
          <w:sz w:val="24"/>
          <w:szCs w:val="24"/>
        </w:rPr>
        <w:t>4. NP完全性理论</w:t>
      </w:r>
    </w:p>
    <w:p>
      <w:pPr>
        <w:keepNext w:val="0"/>
        <w:keepLines w:val="0"/>
        <w:pageBreakBefore w:val="0"/>
        <w:widowControl/>
        <w:kinsoku/>
        <w:wordWrap/>
        <w:overflowPunct/>
        <w:topLinePunct w:val="0"/>
        <w:autoSpaceDE/>
        <w:autoSpaceDN/>
        <w:bidi w:val="0"/>
        <w:adjustRightInd w:val="0"/>
        <w:snapToGrid w:val="0"/>
        <w:spacing w:line="360" w:lineRule="auto"/>
        <w:ind w:firstLine="44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4.1 问题及其复杂性、问题间的归约技术</w:t>
      </w:r>
    </w:p>
    <w:p>
      <w:pPr>
        <w:keepNext w:val="0"/>
        <w:keepLines w:val="0"/>
        <w:pageBreakBefore w:val="0"/>
        <w:widowControl/>
        <w:kinsoku/>
        <w:wordWrap/>
        <w:overflowPunct/>
        <w:topLinePunct w:val="0"/>
        <w:autoSpaceDE/>
        <w:autoSpaceDN/>
        <w:bidi w:val="0"/>
        <w:adjustRightInd w:val="0"/>
        <w:snapToGrid w:val="0"/>
        <w:spacing w:line="360" w:lineRule="auto"/>
        <w:ind w:firstLine="44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4.2 基本复杂性类、cook定理</w:t>
      </w:r>
    </w:p>
    <w:p>
      <w:pPr>
        <w:keepNext w:val="0"/>
        <w:keepLines w:val="0"/>
        <w:pageBreakBefore w:val="0"/>
        <w:widowControl/>
        <w:kinsoku/>
        <w:wordWrap/>
        <w:overflowPunct/>
        <w:topLinePunct w:val="0"/>
        <w:autoSpaceDE/>
        <w:autoSpaceDN/>
        <w:bidi w:val="0"/>
        <w:adjustRightInd w:val="0"/>
        <w:snapToGrid w:val="0"/>
        <w:spacing w:line="360" w:lineRule="auto"/>
        <w:ind w:firstLine="44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4.3 典型NP难度问题的证明</w:t>
      </w:r>
    </w:p>
    <w:p>
      <w:pPr>
        <w:keepNext w:val="0"/>
        <w:keepLines w:val="0"/>
        <w:pageBreakBefore w:val="0"/>
        <w:widowControl/>
        <w:kinsoku/>
        <w:wordWrap/>
        <w:overflowPunct/>
        <w:topLinePunct w:val="0"/>
        <w:autoSpaceDE/>
        <w:autoSpaceDN/>
        <w:bidi w:val="0"/>
        <w:adjustRightInd w:val="0"/>
        <w:snapToGrid w:val="0"/>
        <w:spacing w:line="360" w:lineRule="auto"/>
        <w:ind w:firstLine="440"/>
        <w:textAlignment w:val="auto"/>
        <w:rPr>
          <w:rFonts w:hint="eastAsia" w:ascii="Times New Roman" w:hAnsi="Times New Roman" w:eastAsia="宋体" w:cs="宋体"/>
          <w:b/>
          <w:color w:val="000000"/>
          <w:kern w:val="0"/>
          <w:sz w:val="24"/>
          <w:szCs w:val="24"/>
        </w:rPr>
      </w:pPr>
      <w:r>
        <w:rPr>
          <w:rFonts w:hint="eastAsia" w:ascii="Times New Roman" w:hAnsi="Times New Roman" w:eastAsia="宋体" w:cs="宋体"/>
          <w:b/>
          <w:color w:val="000000"/>
          <w:kern w:val="0"/>
          <w:sz w:val="24"/>
          <w:szCs w:val="24"/>
        </w:rPr>
        <w:t>5. NP难度问题求解方法和技术</w:t>
      </w:r>
    </w:p>
    <w:p>
      <w:pPr>
        <w:keepNext w:val="0"/>
        <w:keepLines w:val="0"/>
        <w:pageBreakBefore w:val="0"/>
        <w:widowControl/>
        <w:kinsoku/>
        <w:wordWrap/>
        <w:overflowPunct/>
        <w:topLinePunct w:val="0"/>
        <w:autoSpaceDE/>
        <w:autoSpaceDN/>
        <w:bidi w:val="0"/>
        <w:adjustRightInd w:val="0"/>
        <w:snapToGrid w:val="0"/>
        <w:spacing w:line="360" w:lineRule="auto"/>
        <w:ind w:firstLine="44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5.1 启发式算法设计技术</w:t>
      </w:r>
    </w:p>
    <w:p>
      <w:pPr>
        <w:keepNext w:val="0"/>
        <w:keepLines w:val="0"/>
        <w:pageBreakBefore w:val="0"/>
        <w:widowControl/>
        <w:kinsoku/>
        <w:wordWrap/>
        <w:overflowPunct/>
        <w:topLinePunct w:val="0"/>
        <w:autoSpaceDE/>
        <w:autoSpaceDN/>
        <w:bidi w:val="0"/>
        <w:adjustRightInd w:val="0"/>
        <w:snapToGrid w:val="0"/>
        <w:spacing w:line="360" w:lineRule="auto"/>
        <w:ind w:firstLine="44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5.2 近似算法设计技术</w:t>
      </w:r>
    </w:p>
    <w:p>
      <w:pPr>
        <w:keepNext w:val="0"/>
        <w:keepLines w:val="0"/>
        <w:pageBreakBefore w:val="0"/>
        <w:widowControl/>
        <w:kinsoku/>
        <w:wordWrap/>
        <w:overflowPunct/>
        <w:topLinePunct w:val="0"/>
        <w:autoSpaceDE/>
        <w:autoSpaceDN/>
        <w:bidi w:val="0"/>
        <w:adjustRightInd w:val="0"/>
        <w:snapToGrid w:val="0"/>
        <w:spacing w:line="360" w:lineRule="auto"/>
        <w:ind w:firstLine="44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5.3 精确算法设计技术</w:t>
      </w:r>
    </w:p>
    <w:p>
      <w:pPr>
        <w:keepNext w:val="0"/>
        <w:keepLines w:val="0"/>
        <w:pageBreakBefore w:val="0"/>
        <w:widowControl/>
        <w:kinsoku/>
        <w:wordWrap/>
        <w:overflowPunct/>
        <w:topLinePunct w:val="0"/>
        <w:autoSpaceDE/>
        <w:autoSpaceDN/>
        <w:bidi w:val="0"/>
        <w:adjustRightInd w:val="0"/>
        <w:snapToGrid w:val="0"/>
        <w:spacing w:before="156" w:after="156" w:line="360" w:lineRule="auto"/>
        <w:ind w:firstLine="482" w:firstLineChars="200"/>
        <w:jc w:val="left"/>
        <w:textAlignment w:val="auto"/>
        <w:outlineLvl w:val="0"/>
        <w:rPr>
          <w:rFonts w:hint="eastAsia" w:ascii="Times New Roman" w:hAnsi="Times New Roman" w:eastAsia="宋体" w:cs="宋体"/>
          <w:b/>
          <w:bCs/>
          <w:color w:val="000000"/>
          <w:kern w:val="0"/>
          <w:sz w:val="24"/>
          <w:szCs w:val="24"/>
          <w:lang w:eastAsia="zh-TW"/>
        </w:rPr>
      </w:pPr>
      <w:r>
        <w:rPr>
          <w:rFonts w:hint="eastAsia" w:ascii="Times New Roman" w:hAnsi="Times New Roman" w:eastAsia="宋体" w:cs="宋体"/>
          <w:b/>
          <w:bCs/>
          <w:color w:val="000000"/>
          <w:kern w:val="0"/>
          <w:sz w:val="24"/>
          <w:szCs w:val="24"/>
        </w:rPr>
        <w:t>《高级数据库技术》科目</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outlineLvl w:val="1"/>
        <w:rPr>
          <w:rFonts w:hint="eastAsia" w:ascii="Times New Roman" w:hAnsi="Times New Roman" w:eastAsia="宋体" w:cs="宋体"/>
          <w:b/>
          <w:bCs/>
          <w:color w:val="000000"/>
          <w:kern w:val="36"/>
          <w:sz w:val="24"/>
          <w:szCs w:val="24"/>
          <w:lang w:eastAsia="zh-TW"/>
        </w:rPr>
      </w:pPr>
      <w:r>
        <w:rPr>
          <w:rFonts w:hint="eastAsia" w:ascii="Times New Roman" w:hAnsi="Times New Roman" w:eastAsia="宋体" w:cs="宋体"/>
          <w:b/>
          <w:bCs/>
          <w:color w:val="000000"/>
          <w:kern w:val="36"/>
          <w:sz w:val="24"/>
          <w:szCs w:val="24"/>
        </w:rPr>
        <w:t>【考查</w:t>
      </w:r>
      <w:r>
        <w:rPr>
          <w:rFonts w:hint="eastAsia" w:ascii="Times New Roman" w:hAnsi="Times New Roman" w:eastAsia="宋体" w:cs="宋体"/>
          <w:b/>
          <w:bCs/>
          <w:color w:val="000000"/>
          <w:kern w:val="36"/>
          <w:sz w:val="24"/>
          <w:szCs w:val="24"/>
          <w:cs/>
        </w:rPr>
        <w:t>内</w:t>
      </w:r>
      <w:r>
        <w:rPr>
          <w:rFonts w:hint="eastAsia" w:ascii="Times New Roman" w:hAnsi="Times New Roman" w:eastAsia="宋体" w:cs="宋体"/>
          <w:b/>
          <w:bCs/>
          <w:color w:val="000000"/>
          <w:kern w:val="36"/>
          <w:sz w:val="24"/>
          <w:szCs w:val="24"/>
        </w:rPr>
        <w:t>容】</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outlineLvl w:val="2"/>
        <w:rPr>
          <w:rFonts w:hint="eastAsia" w:ascii="Times New Roman" w:hAnsi="Times New Roman" w:eastAsia="宋体" w:cs="宋体"/>
          <w:b/>
          <w:bCs/>
          <w:color w:val="000000"/>
          <w:kern w:val="0"/>
          <w:sz w:val="24"/>
          <w:szCs w:val="24"/>
        </w:rPr>
      </w:pPr>
      <w:r>
        <w:rPr>
          <w:rFonts w:hint="eastAsia" w:ascii="Times New Roman" w:hAnsi="Times New Roman" w:eastAsia="宋体" w:cs="宋体"/>
          <w:b/>
          <w:bCs/>
          <w:color w:val="000000"/>
          <w:kern w:val="0"/>
          <w:sz w:val="24"/>
          <w:szCs w:val="24"/>
        </w:rPr>
        <w:t>1．高</w:t>
      </w:r>
      <w:r>
        <w:rPr>
          <w:rFonts w:hint="eastAsia" w:ascii="Times New Roman" w:hAnsi="Times New Roman" w:eastAsia="宋体" w:cs="宋体"/>
          <w:b/>
          <w:bCs/>
          <w:color w:val="000000"/>
          <w:kern w:val="0"/>
          <w:sz w:val="24"/>
          <w:szCs w:val="24"/>
          <w:cs/>
        </w:rPr>
        <w:t>级数</w:t>
      </w:r>
      <w:r>
        <w:rPr>
          <w:rFonts w:hint="eastAsia" w:ascii="Times New Roman" w:hAnsi="Times New Roman" w:eastAsia="宋体" w:cs="宋体"/>
          <w:b/>
          <w:bCs/>
          <w:color w:val="000000"/>
          <w:kern w:val="0"/>
          <w:sz w:val="24"/>
          <w:szCs w:val="24"/>
        </w:rPr>
        <w:t>据</w:t>
      </w:r>
      <w:r>
        <w:rPr>
          <w:rFonts w:hint="eastAsia" w:ascii="Times New Roman" w:hAnsi="Times New Roman" w:eastAsia="宋体" w:cs="宋体"/>
          <w:b/>
          <w:bCs/>
          <w:color w:val="000000"/>
          <w:kern w:val="0"/>
          <w:sz w:val="24"/>
          <w:szCs w:val="24"/>
          <w:cs/>
        </w:rPr>
        <w:t>库</w:t>
      </w:r>
      <w:r>
        <w:rPr>
          <w:rFonts w:hint="eastAsia" w:ascii="Times New Roman" w:hAnsi="Times New Roman" w:eastAsia="宋体" w:cs="宋体"/>
          <w:b/>
          <w:bCs/>
          <w:color w:val="000000"/>
          <w:kern w:val="0"/>
          <w:sz w:val="24"/>
          <w:szCs w:val="24"/>
        </w:rPr>
        <w:t>基</w:t>
      </w:r>
      <w:r>
        <w:rPr>
          <w:rFonts w:hint="eastAsia" w:ascii="Times New Roman" w:hAnsi="Times New Roman" w:eastAsia="宋体" w:cs="宋体"/>
          <w:b/>
          <w:bCs/>
          <w:color w:val="000000"/>
          <w:kern w:val="0"/>
          <w:sz w:val="24"/>
          <w:szCs w:val="24"/>
          <w:cs/>
        </w:rPr>
        <w:t>础</w:t>
      </w:r>
      <w:r>
        <w:rPr>
          <w:rFonts w:hint="eastAsia" w:ascii="Times New Roman" w:hAnsi="Times New Roman" w:eastAsia="宋体" w:cs="宋体"/>
          <w:b/>
          <w:bCs/>
          <w:color w:val="000000"/>
          <w:kern w:val="0"/>
          <w:sz w:val="24"/>
          <w:szCs w:val="24"/>
        </w:rPr>
        <w:t>理</w:t>
      </w:r>
      <w:r>
        <w:rPr>
          <w:rFonts w:hint="eastAsia" w:ascii="Times New Roman" w:hAnsi="Times New Roman" w:eastAsia="宋体" w:cs="宋体"/>
          <w:b/>
          <w:bCs/>
          <w:color w:val="000000"/>
          <w:kern w:val="0"/>
          <w:sz w:val="24"/>
          <w:szCs w:val="24"/>
          <w:cs/>
        </w:rPr>
        <w:t>论</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1.1 数据库技术理论体系与研究热点</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1.2 高级数据库技术范畴</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1.3  高级数据库技术应用特征</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outlineLvl w:val="2"/>
        <w:rPr>
          <w:rFonts w:hint="eastAsia" w:ascii="Times New Roman" w:hAnsi="Times New Roman" w:eastAsia="宋体" w:cs="宋体"/>
          <w:b/>
          <w:bCs/>
          <w:color w:val="000000"/>
          <w:kern w:val="0"/>
          <w:sz w:val="24"/>
          <w:szCs w:val="24"/>
        </w:rPr>
      </w:pPr>
      <w:r>
        <w:rPr>
          <w:rFonts w:hint="eastAsia" w:ascii="Times New Roman" w:hAnsi="Times New Roman" w:eastAsia="宋体" w:cs="宋体"/>
          <w:b/>
          <w:bCs/>
          <w:color w:val="000000"/>
          <w:kern w:val="0"/>
          <w:sz w:val="24"/>
          <w:szCs w:val="24"/>
        </w:rPr>
        <w:t>2．</w:t>
      </w:r>
      <w:r>
        <w:rPr>
          <w:rFonts w:hint="eastAsia" w:ascii="Times New Roman" w:hAnsi="Times New Roman" w:eastAsia="宋体" w:cs="宋体"/>
          <w:b/>
          <w:bCs/>
          <w:color w:val="000000"/>
          <w:kern w:val="0"/>
          <w:sz w:val="24"/>
          <w:szCs w:val="24"/>
          <w:cs/>
        </w:rPr>
        <w:t>关</w:t>
      </w:r>
      <w:r>
        <w:rPr>
          <w:rFonts w:hint="eastAsia" w:ascii="Times New Roman" w:hAnsi="Times New Roman" w:eastAsia="宋体" w:cs="宋体"/>
          <w:b/>
          <w:bCs/>
          <w:color w:val="000000"/>
          <w:kern w:val="0"/>
          <w:sz w:val="24"/>
          <w:szCs w:val="24"/>
        </w:rPr>
        <w:t>系</w:t>
      </w:r>
      <w:r>
        <w:rPr>
          <w:rFonts w:hint="eastAsia" w:ascii="Times New Roman" w:hAnsi="Times New Roman" w:eastAsia="宋体" w:cs="宋体"/>
          <w:b/>
          <w:bCs/>
          <w:color w:val="000000"/>
          <w:kern w:val="0"/>
          <w:sz w:val="24"/>
          <w:szCs w:val="24"/>
          <w:cs/>
        </w:rPr>
        <w:t>数</w:t>
      </w:r>
      <w:r>
        <w:rPr>
          <w:rFonts w:hint="eastAsia" w:ascii="Times New Roman" w:hAnsi="Times New Roman" w:eastAsia="宋体" w:cs="宋体"/>
          <w:b/>
          <w:bCs/>
          <w:color w:val="000000"/>
          <w:kern w:val="0"/>
          <w:sz w:val="24"/>
          <w:szCs w:val="24"/>
        </w:rPr>
        <w:t>据</w:t>
      </w:r>
      <w:r>
        <w:rPr>
          <w:rFonts w:hint="eastAsia" w:ascii="Times New Roman" w:hAnsi="Times New Roman" w:eastAsia="宋体" w:cs="宋体"/>
          <w:b/>
          <w:bCs/>
          <w:color w:val="000000"/>
          <w:kern w:val="0"/>
          <w:sz w:val="24"/>
          <w:szCs w:val="24"/>
          <w:cs/>
        </w:rPr>
        <w:t>库</w:t>
      </w:r>
      <w:r>
        <w:rPr>
          <w:rFonts w:hint="eastAsia" w:ascii="Times New Roman" w:hAnsi="Times New Roman" w:eastAsia="宋体" w:cs="宋体"/>
          <w:b/>
          <w:bCs/>
          <w:color w:val="000000"/>
          <w:kern w:val="0"/>
          <w:sz w:val="24"/>
          <w:szCs w:val="24"/>
        </w:rPr>
        <w:t>基</w:t>
      </w:r>
      <w:r>
        <w:rPr>
          <w:rFonts w:hint="eastAsia" w:ascii="Times New Roman" w:hAnsi="Times New Roman" w:eastAsia="宋体" w:cs="宋体"/>
          <w:b/>
          <w:bCs/>
          <w:color w:val="000000"/>
          <w:kern w:val="0"/>
          <w:sz w:val="24"/>
          <w:szCs w:val="24"/>
          <w:cs/>
        </w:rPr>
        <w:t>础</w:t>
      </w:r>
      <w:r>
        <w:rPr>
          <w:rFonts w:hint="eastAsia" w:ascii="Times New Roman" w:hAnsi="Times New Roman" w:eastAsia="宋体" w:cs="宋体"/>
          <w:b/>
          <w:bCs/>
          <w:color w:val="000000"/>
          <w:kern w:val="0"/>
          <w:sz w:val="24"/>
          <w:szCs w:val="24"/>
        </w:rPr>
        <w:t>理</w:t>
      </w:r>
      <w:r>
        <w:rPr>
          <w:rFonts w:hint="eastAsia" w:ascii="Times New Roman" w:hAnsi="Times New Roman" w:eastAsia="宋体" w:cs="宋体"/>
          <w:b/>
          <w:bCs/>
          <w:color w:val="000000"/>
          <w:kern w:val="0"/>
          <w:sz w:val="24"/>
          <w:szCs w:val="24"/>
          <w:cs/>
        </w:rPr>
        <w:t>论</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2.1 关系数据库模型和关系数据库标准语言</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2.2  关系模式设计理论</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2.3  关系数据库保护</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2.4 关系数据库事物处理</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outlineLvl w:val="2"/>
        <w:rPr>
          <w:rFonts w:hint="eastAsia" w:ascii="Times New Roman" w:hAnsi="Times New Roman" w:eastAsia="宋体" w:cs="宋体"/>
          <w:b/>
          <w:bCs/>
          <w:color w:val="000000"/>
          <w:kern w:val="0"/>
          <w:sz w:val="24"/>
          <w:szCs w:val="24"/>
        </w:rPr>
      </w:pPr>
      <w:r>
        <w:rPr>
          <w:rFonts w:hint="eastAsia" w:ascii="Times New Roman" w:hAnsi="Times New Roman" w:eastAsia="宋体" w:cs="宋体"/>
          <w:b/>
          <w:bCs/>
          <w:color w:val="000000"/>
          <w:kern w:val="0"/>
          <w:sz w:val="24"/>
          <w:szCs w:val="24"/>
        </w:rPr>
        <w:t>3．高</w:t>
      </w:r>
      <w:r>
        <w:rPr>
          <w:rFonts w:hint="eastAsia" w:ascii="Times New Roman" w:hAnsi="Times New Roman" w:eastAsia="宋体" w:cs="宋体"/>
          <w:b/>
          <w:bCs/>
          <w:color w:val="000000"/>
          <w:kern w:val="0"/>
          <w:sz w:val="24"/>
          <w:szCs w:val="24"/>
          <w:cs/>
        </w:rPr>
        <w:t>级数</w:t>
      </w:r>
      <w:r>
        <w:rPr>
          <w:rFonts w:hint="eastAsia" w:ascii="Times New Roman" w:hAnsi="Times New Roman" w:eastAsia="宋体" w:cs="宋体"/>
          <w:b/>
          <w:bCs/>
          <w:color w:val="000000"/>
          <w:kern w:val="0"/>
          <w:sz w:val="24"/>
          <w:szCs w:val="24"/>
        </w:rPr>
        <w:t>据模型</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3.1 对象关系数据模型：数据模型创建和数据操作</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3.2  面向对象数据库与ODMG：ODMG模型，ODMG数据定义，ODMG数据查询</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3.3  时态数据模型与时态数据库：时间演算，时态数据库，时态查询语言</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3.4  空间数据模型与空间数据库：空间数据类型与数据操作，空间索引</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outlineLvl w:val="2"/>
        <w:rPr>
          <w:rFonts w:hint="eastAsia" w:ascii="Times New Roman" w:hAnsi="Times New Roman" w:eastAsia="宋体" w:cs="宋体"/>
          <w:b/>
          <w:bCs/>
          <w:color w:val="000000"/>
          <w:kern w:val="0"/>
          <w:sz w:val="24"/>
          <w:szCs w:val="24"/>
        </w:rPr>
      </w:pPr>
      <w:r>
        <w:rPr>
          <w:rFonts w:hint="eastAsia" w:ascii="Times New Roman" w:hAnsi="Times New Roman" w:eastAsia="宋体" w:cs="宋体"/>
          <w:b/>
          <w:bCs/>
          <w:color w:val="000000"/>
          <w:kern w:val="0"/>
          <w:sz w:val="24"/>
          <w:szCs w:val="24"/>
        </w:rPr>
        <w:t>4．智能</w:t>
      </w:r>
      <w:r>
        <w:rPr>
          <w:rFonts w:hint="eastAsia" w:ascii="Times New Roman" w:hAnsi="Times New Roman" w:eastAsia="宋体" w:cs="宋体"/>
          <w:b/>
          <w:bCs/>
          <w:color w:val="000000"/>
          <w:kern w:val="0"/>
          <w:sz w:val="24"/>
          <w:szCs w:val="24"/>
          <w:cs/>
        </w:rPr>
        <w:t>数</w:t>
      </w:r>
      <w:r>
        <w:rPr>
          <w:rFonts w:hint="eastAsia" w:ascii="Times New Roman" w:hAnsi="Times New Roman" w:eastAsia="宋体" w:cs="宋体"/>
          <w:b/>
          <w:bCs/>
          <w:color w:val="000000"/>
          <w:kern w:val="0"/>
          <w:sz w:val="24"/>
          <w:szCs w:val="24"/>
        </w:rPr>
        <w:t>据</w:t>
      </w:r>
      <w:r>
        <w:rPr>
          <w:rFonts w:hint="eastAsia" w:ascii="Times New Roman" w:hAnsi="Times New Roman" w:eastAsia="宋体" w:cs="宋体"/>
          <w:b/>
          <w:bCs/>
          <w:color w:val="000000"/>
          <w:kern w:val="0"/>
          <w:sz w:val="24"/>
          <w:szCs w:val="24"/>
          <w:cs/>
        </w:rPr>
        <w:t>处</w:t>
      </w:r>
      <w:r>
        <w:rPr>
          <w:rFonts w:hint="eastAsia" w:ascii="Times New Roman" w:hAnsi="Times New Roman" w:eastAsia="宋体" w:cs="宋体"/>
          <w:b/>
          <w:bCs/>
          <w:color w:val="000000"/>
          <w:kern w:val="0"/>
          <w:sz w:val="24"/>
          <w:szCs w:val="24"/>
        </w:rPr>
        <w:t>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4.1  知识表示与知识推理：基本表示方式，本体表示，知识库语言</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4.2  知识库与知识库管理系统</w:t>
      </w:r>
    </w:p>
    <w:p>
      <w:pPr>
        <w:keepNext w:val="0"/>
        <w:keepLines w:val="0"/>
        <w:pageBreakBefore w:val="0"/>
        <w:widowControl/>
        <w:kinsoku/>
        <w:wordWrap/>
        <w:overflowPunct/>
        <w:topLinePunct w:val="0"/>
        <w:autoSpaceDE/>
        <w:autoSpaceDN/>
        <w:bidi w:val="0"/>
        <w:adjustRightInd w:val="0"/>
        <w:snapToGrid w:val="0"/>
        <w:spacing w:line="360" w:lineRule="auto"/>
        <w:ind w:left="1020" w:leftChars="200" w:hanging="600" w:hangingChars="25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4.3  基于知识的数据库技术：主动数据库技术，决策支持系统，数据仓库技术、数据挖掘技术</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outlineLvl w:val="2"/>
        <w:rPr>
          <w:rFonts w:hint="eastAsia" w:ascii="Times New Roman" w:hAnsi="Times New Roman" w:eastAsia="宋体" w:cs="宋体"/>
          <w:b/>
          <w:bCs/>
          <w:color w:val="000000"/>
          <w:kern w:val="0"/>
          <w:sz w:val="24"/>
          <w:szCs w:val="24"/>
        </w:rPr>
      </w:pPr>
      <w:r>
        <w:rPr>
          <w:rFonts w:hint="eastAsia" w:ascii="Times New Roman" w:hAnsi="Times New Roman" w:eastAsia="宋体" w:cs="宋体"/>
          <w:b/>
          <w:bCs/>
          <w:color w:val="000000"/>
          <w:kern w:val="0"/>
          <w:sz w:val="24"/>
          <w:szCs w:val="24"/>
        </w:rPr>
        <w:t>5．网</w:t>
      </w:r>
      <w:r>
        <w:rPr>
          <w:rFonts w:hint="eastAsia" w:ascii="Times New Roman" w:hAnsi="Times New Roman" w:eastAsia="宋体" w:cs="宋体"/>
          <w:b/>
          <w:bCs/>
          <w:color w:val="000000"/>
          <w:kern w:val="0"/>
          <w:sz w:val="24"/>
          <w:szCs w:val="24"/>
          <w:cs/>
        </w:rPr>
        <w:t>络环</w:t>
      </w:r>
      <w:r>
        <w:rPr>
          <w:rFonts w:hint="eastAsia" w:ascii="Times New Roman" w:hAnsi="Times New Roman" w:eastAsia="宋体" w:cs="宋体"/>
          <w:b/>
          <w:bCs/>
          <w:color w:val="000000"/>
          <w:kern w:val="0"/>
          <w:sz w:val="24"/>
          <w:szCs w:val="24"/>
        </w:rPr>
        <w:t>境</w:t>
      </w:r>
      <w:r>
        <w:rPr>
          <w:rFonts w:hint="eastAsia" w:ascii="Times New Roman" w:hAnsi="Times New Roman" w:eastAsia="宋体" w:cs="宋体"/>
          <w:b/>
          <w:bCs/>
          <w:color w:val="000000"/>
          <w:kern w:val="0"/>
          <w:sz w:val="24"/>
          <w:szCs w:val="24"/>
          <w:cs/>
        </w:rPr>
        <w:t>数</w:t>
      </w:r>
      <w:r>
        <w:rPr>
          <w:rFonts w:hint="eastAsia" w:ascii="Times New Roman" w:hAnsi="Times New Roman" w:eastAsia="宋体" w:cs="宋体"/>
          <w:b/>
          <w:bCs/>
          <w:color w:val="000000"/>
          <w:kern w:val="0"/>
          <w:sz w:val="24"/>
          <w:szCs w:val="24"/>
        </w:rPr>
        <w:t>据管理</w:t>
      </w:r>
    </w:p>
    <w:p>
      <w:pPr>
        <w:keepNext w:val="0"/>
        <w:keepLines w:val="0"/>
        <w:pageBreakBefore w:val="0"/>
        <w:widowControl/>
        <w:kinsoku/>
        <w:wordWrap/>
        <w:overflowPunct/>
        <w:topLinePunct w:val="0"/>
        <w:autoSpaceDE/>
        <w:autoSpaceDN/>
        <w:bidi w:val="0"/>
        <w:adjustRightInd w:val="0"/>
        <w:snapToGrid w:val="0"/>
        <w:spacing w:line="360" w:lineRule="auto"/>
        <w:ind w:left="1020" w:leftChars="200" w:hanging="600" w:hangingChars="25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5.1  分布数据管理：分布式数据库系统，体系结构，分布式数据存储、分布式数据查询，分布式事务管理</w:t>
      </w:r>
    </w:p>
    <w:p>
      <w:pPr>
        <w:keepNext w:val="0"/>
        <w:keepLines w:val="0"/>
        <w:pageBreakBefore w:val="0"/>
        <w:widowControl/>
        <w:kinsoku/>
        <w:wordWrap/>
        <w:overflowPunct/>
        <w:topLinePunct w:val="0"/>
        <w:autoSpaceDE/>
        <w:autoSpaceDN/>
        <w:bidi w:val="0"/>
        <w:adjustRightInd w:val="0"/>
        <w:snapToGrid w:val="0"/>
        <w:spacing w:line="360" w:lineRule="auto"/>
        <w:ind w:left="1020" w:leftChars="200" w:hanging="600" w:hangingChars="25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5.2  移动数据管理：移动数据库关键技术，移动代理技术，移动数据管理与分布数据管理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5.3  WEB数据管理：WEB数据管理体系结构，WEB数据访问连接</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5.4  XML数据管理：XML数据库模式设计，XML查询与索引</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outlineLvl w:val="2"/>
        <w:rPr>
          <w:rFonts w:hint="eastAsia" w:ascii="Times New Roman" w:hAnsi="Times New Roman" w:eastAsia="宋体" w:cs="宋体"/>
          <w:b/>
          <w:bCs/>
          <w:color w:val="000000"/>
          <w:kern w:val="0"/>
          <w:sz w:val="24"/>
          <w:szCs w:val="24"/>
        </w:rPr>
      </w:pPr>
      <w:r>
        <w:rPr>
          <w:rFonts w:hint="eastAsia" w:ascii="Times New Roman" w:hAnsi="Times New Roman" w:eastAsia="宋体" w:cs="宋体"/>
          <w:b/>
          <w:bCs/>
          <w:color w:val="000000"/>
          <w:kern w:val="0"/>
          <w:sz w:val="24"/>
          <w:szCs w:val="24"/>
        </w:rPr>
        <w:t>6．高</w:t>
      </w:r>
      <w:r>
        <w:rPr>
          <w:rFonts w:hint="eastAsia" w:ascii="Times New Roman" w:hAnsi="Times New Roman" w:eastAsia="宋体" w:cs="宋体"/>
          <w:b/>
          <w:bCs/>
          <w:color w:val="000000"/>
          <w:kern w:val="0"/>
          <w:sz w:val="24"/>
          <w:szCs w:val="24"/>
          <w:cs/>
        </w:rPr>
        <w:t>级数</w:t>
      </w:r>
      <w:r>
        <w:rPr>
          <w:rFonts w:hint="eastAsia" w:ascii="Times New Roman" w:hAnsi="Times New Roman" w:eastAsia="宋体" w:cs="宋体"/>
          <w:b/>
          <w:bCs/>
          <w:color w:val="000000"/>
          <w:kern w:val="0"/>
          <w:sz w:val="24"/>
          <w:szCs w:val="24"/>
        </w:rPr>
        <w:t>据</w:t>
      </w:r>
      <w:r>
        <w:rPr>
          <w:rFonts w:hint="eastAsia" w:ascii="Times New Roman" w:hAnsi="Times New Roman" w:eastAsia="宋体" w:cs="宋体"/>
          <w:b/>
          <w:bCs/>
          <w:color w:val="000000"/>
          <w:kern w:val="0"/>
          <w:sz w:val="24"/>
          <w:szCs w:val="24"/>
          <w:cs/>
        </w:rPr>
        <w:t>库应</w:t>
      </w:r>
      <w:r>
        <w:rPr>
          <w:rFonts w:hint="eastAsia" w:ascii="Times New Roman" w:hAnsi="Times New Roman" w:eastAsia="宋体" w:cs="宋体"/>
          <w:b/>
          <w:bCs/>
          <w:color w:val="000000"/>
          <w:kern w:val="0"/>
          <w:sz w:val="24"/>
          <w:szCs w:val="24"/>
        </w:rPr>
        <w:t>用</w:t>
      </w:r>
      <w:r>
        <w:rPr>
          <w:rFonts w:hint="eastAsia" w:ascii="Times New Roman" w:hAnsi="Times New Roman" w:eastAsia="宋体" w:cs="宋体"/>
          <w:b/>
          <w:bCs/>
          <w:color w:val="000000"/>
          <w:kern w:val="0"/>
          <w:sz w:val="24"/>
          <w:szCs w:val="24"/>
          <w:cs/>
        </w:rPr>
        <w:t>实践</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6.1  高级数据管理系统设计与应用实践</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宋体"/>
          <w:sz w:val="24"/>
          <w:szCs w:val="24"/>
        </w:rPr>
      </w:pPr>
      <w:r>
        <w:rPr>
          <w:rFonts w:hint="eastAsia" w:ascii="Times New Roman" w:hAnsi="Times New Roman" w:eastAsia="宋体" w:cs="宋体"/>
          <w:color w:val="000000"/>
          <w:kern w:val="0"/>
          <w:sz w:val="24"/>
          <w:szCs w:val="24"/>
        </w:rPr>
        <w:t>6.2   大数据技术系统设计与应用实践</w:t>
      </w:r>
    </w:p>
    <w:p>
      <w:pPr>
        <w:spacing w:line="360" w:lineRule="auto"/>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br w:type="page"/>
      </w:r>
    </w:p>
    <w:p>
      <w:pPr>
        <w:spacing w:line="360" w:lineRule="auto"/>
        <w:rPr>
          <w:rFonts w:hint="eastAsia" w:ascii="Times New Roman" w:hAnsi="Times New Roman" w:eastAsia="宋体" w:cs="宋体"/>
          <w:b/>
          <w:color w:val="0000FF"/>
          <w:kern w:val="0"/>
          <w:sz w:val="24"/>
          <w:szCs w:val="24"/>
          <w:lang w:val="en-US" w:eastAsia="zh-TW"/>
        </w:rPr>
      </w:pPr>
      <w:r>
        <w:rPr>
          <w:rFonts w:hint="eastAsia" w:ascii="Times New Roman" w:hAnsi="Times New Roman" w:eastAsia="宋体" w:cs="宋体"/>
          <w:b/>
          <w:color w:val="0000FF"/>
          <w:kern w:val="0"/>
          <w:sz w:val="24"/>
          <w:szCs w:val="24"/>
          <w:lang w:val="en-US" w:eastAsia="zh-CN"/>
        </w:rPr>
        <w:t>040200 心理学</w:t>
      </w:r>
    </w:p>
    <w:p>
      <w:pPr>
        <w:spacing w:line="360" w:lineRule="auto"/>
        <w:ind w:firstLine="480" w:firstLineChars="200"/>
        <w:rPr>
          <w:rFonts w:hint="eastAsia" w:ascii="Times New Roman" w:hAnsi="Times New Roman" w:eastAsia="宋体" w:cs="宋体"/>
          <w:sz w:val="24"/>
          <w:szCs w:val="24"/>
        </w:rPr>
      </w:pPr>
      <w:r>
        <w:rPr>
          <w:rFonts w:hint="eastAsia" w:ascii="Times New Roman" w:hAnsi="Times New Roman" w:eastAsia="宋体" w:cs="宋体"/>
          <w:kern w:val="0"/>
          <w:sz w:val="24"/>
          <w:szCs w:val="24"/>
        </w:rPr>
        <w:t>华南师范大学心理学专业具有一级学科博士学位授予权，</w:t>
      </w:r>
      <w:r>
        <w:rPr>
          <w:rFonts w:hint="eastAsia" w:ascii="Times New Roman" w:hAnsi="Times New Roman" w:eastAsia="宋体" w:cs="宋体"/>
          <w:sz w:val="24"/>
          <w:szCs w:val="24"/>
        </w:rPr>
        <w:t>华南师范大学心理学科建立于20世纪80年代中叶，具有一级学科博士学位授予权，现有全日制硕士生500余人、博士生和博士后100余人、港澳台在职兼读制研究生将近200人。心理学科师资科研力量雄厚，拥有一批在国际国内享有盛誉的学者，有一支教学能力强、科研水平高的专任教师队伍，共有专任教师58人，其中教授31人，副教授23人，博士生导师25人，硕士生导师48人（含25名博士生导师）；博士学位获得者57人，在国外、境外（香港）获得博士学位或有一年以上留学经历者43人；国家级教学名师1人，长江学者特聘教授1人， 长江学者讲座教授1人，青年长江学者</w:t>
      </w:r>
      <w:r>
        <w:rPr>
          <w:rFonts w:hint="eastAsia" w:ascii="Times New Roman" w:hAnsi="Times New Roman" w:eastAsia="宋体" w:cs="宋体"/>
          <w:sz w:val="24"/>
          <w:szCs w:val="24"/>
          <w:highlight w:val="none"/>
          <w:lang w:val="en-US" w:eastAsia="zh-CN"/>
        </w:rPr>
        <w:t>2</w:t>
      </w:r>
      <w:r>
        <w:rPr>
          <w:rFonts w:hint="eastAsia" w:ascii="Times New Roman" w:hAnsi="Times New Roman" w:eastAsia="宋体" w:cs="宋体"/>
          <w:sz w:val="24"/>
          <w:szCs w:val="24"/>
          <w:highlight w:val="none"/>
        </w:rPr>
        <w:t>人，</w:t>
      </w:r>
      <w:r>
        <w:rPr>
          <w:rFonts w:hint="eastAsia" w:ascii="Times New Roman" w:hAnsi="Times New Roman" w:eastAsia="宋体" w:cs="宋体"/>
          <w:sz w:val="24"/>
          <w:szCs w:val="24"/>
          <w:highlight w:val="none"/>
          <w:lang w:eastAsia="zh-CN"/>
        </w:rPr>
        <w:t>国家自然科学基金委优秀青年项目获得者</w:t>
      </w:r>
      <w:r>
        <w:rPr>
          <w:rFonts w:hint="eastAsia" w:ascii="Times New Roman" w:hAnsi="Times New Roman" w:eastAsia="宋体" w:cs="宋体"/>
          <w:sz w:val="24"/>
          <w:szCs w:val="24"/>
          <w:highlight w:val="none"/>
          <w:lang w:val="en-US" w:eastAsia="zh-CN"/>
        </w:rPr>
        <w:t>1人，</w:t>
      </w:r>
      <w:r>
        <w:rPr>
          <w:rFonts w:hint="eastAsia" w:ascii="Times New Roman" w:hAnsi="Times New Roman" w:eastAsia="宋体" w:cs="宋体"/>
          <w:sz w:val="24"/>
          <w:szCs w:val="24"/>
          <w:highlight w:val="none"/>
        </w:rPr>
        <w:t>全</w:t>
      </w:r>
      <w:r>
        <w:rPr>
          <w:rFonts w:hint="eastAsia" w:ascii="Times New Roman" w:hAnsi="Times New Roman" w:eastAsia="宋体" w:cs="宋体"/>
          <w:sz w:val="24"/>
          <w:szCs w:val="24"/>
        </w:rPr>
        <w:t>国优秀博士学位论文奖获得者4人，广东省“珠江学者”与“青年珠江学者”共9人，教育部“新世纪优秀人才”支持计划获得者5人。2018年，以莫雷教授为负责人的“心理学科教师团队”获全国首批“黄大年式教师团队”称号。</w:t>
      </w:r>
    </w:p>
    <w:p>
      <w:pPr>
        <w:spacing w:line="360" w:lineRule="auto"/>
        <w:ind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rPr>
        <w:t>心理学科在发展的过程中，承担了一系列国家级、省部级重大科研项目和心理应用项目，包括教育部哲学社会科学重大攻关项目、国家自然科学基金项目、国家哲学社会科学基金项目等多个项目，创造了一系列的佳绩：1986年教育心理学首批获批广东省重点学科，2001年获批心理学一级学科博士学位授予权，同年心理应用研究中心获批“教育部人文社会科学重点研究基地”（省部共建），2002年发展与教育心理学获批国家重点学科，2003年心理学获批博士后科研流动站，2006年心理学科获批广东省一级学科重点学科，2008年获批“国家理科基础科学研究和人才培养基地”，2009年华南师范大学心理学实验中心获批“国家级实验教学示范中心”（全国心理学界第一个），2010年心理健康与认知科学实验室获批“广东省重点实验室”，2012年心理学一级学科获批广东省第一层次建设攀峰重点学科。此外，“广东省突发事件心理援助应急技术研究中心”、“广东省中小学心理健康教育指导中心”和“广东省心理学会”也均挂靠于心理学院。2017年，教育部学位与研究生教育发展中心公布了全国第四轮学科评估的结果，华南师范大学心理学科获评A+，和北京大学、北京师范大学并列第一等级；2017年、2018年、2019年心理学科在上海软科学科排名中均位居第二。</w:t>
      </w:r>
    </w:p>
    <w:p>
      <w:pPr>
        <w:spacing w:line="360" w:lineRule="auto"/>
        <w:ind w:firstLine="435"/>
        <w:rPr>
          <w:rFonts w:hint="eastAsia" w:ascii="Times New Roman" w:hAnsi="Times New Roman" w:eastAsia="宋体" w:cs="宋体"/>
          <w:sz w:val="24"/>
          <w:szCs w:val="24"/>
        </w:rPr>
      </w:pPr>
    </w:p>
    <w:p>
      <w:pPr>
        <w:spacing w:line="360" w:lineRule="auto"/>
        <w:ind w:firstLine="482" w:firstLineChars="200"/>
        <w:rPr>
          <w:rFonts w:hint="eastAsia" w:ascii="Times New Roman" w:hAnsi="Times New Roman" w:eastAsia="宋体" w:cs="宋体"/>
          <w:b/>
          <w:kern w:val="0"/>
          <w:sz w:val="24"/>
          <w:szCs w:val="24"/>
        </w:rPr>
      </w:pPr>
      <w:r>
        <w:rPr>
          <w:rFonts w:hint="eastAsia" w:ascii="Times New Roman" w:hAnsi="Times New Roman" w:eastAsia="宋体" w:cs="宋体"/>
          <w:b/>
          <w:kern w:val="0"/>
          <w:sz w:val="24"/>
          <w:szCs w:val="24"/>
        </w:rPr>
        <w:t>考试大纲：</w:t>
      </w:r>
    </w:p>
    <w:p>
      <w:pPr>
        <w:widowControl/>
        <w:adjustRightInd w:val="0"/>
        <w:snapToGrid w:val="0"/>
        <w:spacing w:line="360" w:lineRule="auto"/>
        <w:ind w:firstLine="480" w:firstLineChars="200"/>
        <w:jc w:val="left"/>
        <w:rPr>
          <w:rFonts w:hint="eastAsia" w:ascii="Times New Roman" w:hAnsi="Times New Roman" w:eastAsia="宋体" w:cs="宋体"/>
          <w:kern w:val="0"/>
          <w:sz w:val="24"/>
          <w:szCs w:val="24"/>
        </w:rPr>
      </w:pPr>
      <w:r>
        <w:rPr>
          <w:rFonts w:hint="eastAsia" w:ascii="Times New Roman" w:hAnsi="Times New Roman" w:eastAsia="宋体" w:cs="宋体"/>
          <w:kern w:val="0"/>
          <w:sz w:val="24"/>
          <w:szCs w:val="24"/>
        </w:rPr>
        <w:t>01—13方向考试内容包括：普通心理学、心理学研究方法、心理统计学、心理测量学、实验心理学、认知心理学等内容。</w:t>
      </w:r>
    </w:p>
    <w:p>
      <w:pPr>
        <w:widowControl/>
        <w:adjustRightInd w:val="0"/>
        <w:snapToGrid w:val="0"/>
        <w:spacing w:line="360" w:lineRule="auto"/>
        <w:ind w:firstLine="480" w:firstLineChars="200"/>
        <w:jc w:val="left"/>
        <w:rPr>
          <w:rFonts w:hint="eastAsia" w:ascii="Times New Roman" w:hAnsi="Times New Roman" w:eastAsia="宋体" w:cs="宋体"/>
          <w:kern w:val="0"/>
          <w:sz w:val="24"/>
          <w:szCs w:val="24"/>
        </w:rPr>
      </w:pPr>
      <w:r>
        <w:rPr>
          <w:rFonts w:hint="eastAsia" w:ascii="Times New Roman" w:hAnsi="Times New Roman" w:eastAsia="宋体" w:cs="宋体"/>
          <w:kern w:val="0"/>
          <w:sz w:val="24"/>
          <w:szCs w:val="24"/>
        </w:rPr>
        <w:t>14—20方向考试内容包括：普通心理学、心理学研究方法、心理统计学、心理测量学、实验心理学、发展心理学、教育心理学等内容。</w:t>
      </w:r>
    </w:p>
    <w:p>
      <w:pPr>
        <w:widowControl/>
        <w:adjustRightInd w:val="0"/>
        <w:snapToGrid w:val="0"/>
        <w:spacing w:line="360" w:lineRule="auto"/>
        <w:ind w:firstLine="480" w:firstLineChars="200"/>
        <w:jc w:val="left"/>
        <w:rPr>
          <w:rFonts w:hint="eastAsia" w:ascii="Times New Roman" w:hAnsi="Times New Roman" w:eastAsia="宋体" w:cs="宋体"/>
          <w:kern w:val="0"/>
          <w:sz w:val="24"/>
          <w:szCs w:val="24"/>
        </w:rPr>
      </w:pPr>
      <w:r>
        <w:rPr>
          <w:rFonts w:hint="eastAsia" w:ascii="Times New Roman" w:hAnsi="Times New Roman" w:eastAsia="宋体" w:cs="宋体"/>
          <w:kern w:val="0"/>
          <w:sz w:val="24"/>
          <w:szCs w:val="24"/>
        </w:rPr>
        <w:t>21-23方向考试内容包括：普通心理学、心理学研究方法、心理统计学、心理测量学、实验心理学、人格心理学、社会心理学等内容。</w:t>
      </w:r>
    </w:p>
    <w:p>
      <w:pPr>
        <w:widowControl/>
        <w:adjustRightInd w:val="0"/>
        <w:snapToGrid w:val="0"/>
        <w:spacing w:line="360" w:lineRule="auto"/>
        <w:ind w:firstLine="480" w:firstLineChars="200"/>
        <w:jc w:val="left"/>
        <w:rPr>
          <w:rFonts w:hint="eastAsia" w:ascii="Times New Roman" w:hAnsi="Times New Roman" w:eastAsia="宋体" w:cs="宋体"/>
          <w:kern w:val="0"/>
          <w:sz w:val="24"/>
          <w:szCs w:val="24"/>
        </w:rPr>
      </w:pPr>
      <w:r>
        <w:rPr>
          <w:rFonts w:hint="eastAsia" w:ascii="Times New Roman" w:hAnsi="Times New Roman" w:eastAsia="宋体" w:cs="宋体"/>
          <w:kern w:val="0"/>
          <w:sz w:val="24"/>
          <w:szCs w:val="24"/>
        </w:rPr>
        <w:t>24方向考试内容包括：普通心理学、心理学研究方法、心理统计学、心理测量学、实验心理学、结构方程等内容。</w:t>
      </w:r>
    </w:p>
    <w:p>
      <w:pPr>
        <w:widowControl/>
        <w:adjustRightInd w:val="0"/>
        <w:snapToGrid w:val="0"/>
        <w:spacing w:line="360" w:lineRule="auto"/>
        <w:ind w:firstLine="480" w:firstLineChars="200"/>
        <w:jc w:val="left"/>
        <w:rPr>
          <w:rFonts w:hint="eastAsia" w:ascii="Times New Roman" w:hAnsi="Times New Roman" w:eastAsia="宋体" w:cs="宋体"/>
          <w:kern w:val="0"/>
          <w:sz w:val="24"/>
          <w:szCs w:val="24"/>
        </w:rPr>
      </w:pPr>
      <w:r>
        <w:rPr>
          <w:rFonts w:hint="eastAsia" w:ascii="Times New Roman" w:hAnsi="Times New Roman" w:eastAsia="宋体" w:cs="宋体"/>
          <w:kern w:val="0"/>
          <w:sz w:val="24"/>
          <w:szCs w:val="24"/>
          <w:lang w:val="en-US" w:eastAsia="zh-CN"/>
        </w:rPr>
        <w:t>25方向</w:t>
      </w:r>
      <w:r>
        <w:rPr>
          <w:rFonts w:hint="eastAsia" w:ascii="Times New Roman" w:hAnsi="Times New Roman" w:eastAsia="宋体" w:cs="宋体"/>
          <w:kern w:val="0"/>
          <w:sz w:val="24"/>
          <w:szCs w:val="24"/>
        </w:rPr>
        <w:t>考试内容包括：普通心理学、心理学研究方法、心理统计学、心理测量学、实验心理学、</w:t>
      </w:r>
      <w:r>
        <w:rPr>
          <w:rFonts w:hint="eastAsia" w:ascii="Times New Roman" w:hAnsi="Times New Roman" w:eastAsia="宋体" w:cs="宋体"/>
          <w:kern w:val="0"/>
          <w:sz w:val="24"/>
          <w:szCs w:val="24"/>
          <w:lang w:eastAsia="zh-CN"/>
        </w:rPr>
        <w:t>数理统计</w:t>
      </w:r>
      <w:r>
        <w:rPr>
          <w:rFonts w:hint="eastAsia" w:ascii="Times New Roman" w:hAnsi="Times New Roman" w:eastAsia="宋体" w:cs="宋体"/>
          <w:kern w:val="0"/>
          <w:sz w:val="24"/>
          <w:szCs w:val="24"/>
        </w:rPr>
        <w:t>等内容。</w:t>
      </w:r>
    </w:p>
    <w:p>
      <w:pPr>
        <w:widowControl/>
        <w:adjustRightInd w:val="0"/>
        <w:snapToGrid w:val="0"/>
        <w:spacing w:line="360" w:lineRule="auto"/>
        <w:ind w:firstLine="480" w:firstLineChars="200"/>
        <w:jc w:val="left"/>
        <w:rPr>
          <w:rFonts w:hint="eastAsia" w:ascii="Times New Roman" w:hAnsi="Times New Roman" w:eastAsia="宋体" w:cs="宋体"/>
          <w:kern w:val="0"/>
          <w:sz w:val="24"/>
          <w:szCs w:val="24"/>
          <w:lang w:val="en-US" w:eastAsia="zh-CN"/>
        </w:rPr>
      </w:pPr>
    </w:p>
    <w:p>
      <w:pPr>
        <w:spacing w:line="360" w:lineRule="auto"/>
        <w:rPr>
          <w:rFonts w:hint="eastAsia" w:ascii="Times New Roman" w:hAnsi="Times New Roman" w:eastAsia="宋体" w:cs="宋体"/>
          <w:color w:val="auto"/>
          <w:sz w:val="24"/>
          <w:szCs w:val="24"/>
        </w:rPr>
      </w:pPr>
      <w:r>
        <w:rPr>
          <w:rFonts w:hint="eastAsia" w:ascii="Times New Roman" w:hAnsi="Times New Roman" w:eastAsia="宋体" w:cs="宋体"/>
          <w:color w:val="auto"/>
          <w:sz w:val="24"/>
          <w:szCs w:val="24"/>
        </w:rPr>
        <w:br w:type="page"/>
      </w:r>
    </w:p>
    <w:p>
      <w:pPr>
        <w:widowControl/>
        <w:adjustRightInd w:val="0"/>
        <w:snapToGrid w:val="0"/>
        <w:spacing w:line="360" w:lineRule="auto"/>
        <w:jc w:val="left"/>
        <w:rPr>
          <w:rFonts w:hint="eastAsia" w:ascii="Times New Roman" w:hAnsi="Times New Roman" w:eastAsia="宋体" w:cs="宋体"/>
          <w:b/>
          <w:color w:val="0000FF"/>
          <w:kern w:val="0"/>
          <w:sz w:val="24"/>
          <w:szCs w:val="24"/>
        </w:rPr>
      </w:pPr>
      <w:r>
        <w:rPr>
          <w:rFonts w:hint="eastAsia" w:ascii="Times New Roman" w:hAnsi="Times New Roman" w:eastAsia="宋体" w:cs="宋体"/>
          <w:b/>
          <w:color w:val="0000FF"/>
          <w:kern w:val="0"/>
          <w:sz w:val="24"/>
          <w:szCs w:val="24"/>
        </w:rPr>
        <w:t xml:space="preserve"> </w:t>
      </w:r>
      <w:r>
        <w:rPr>
          <w:rFonts w:hint="eastAsia" w:ascii="Times New Roman" w:hAnsi="Times New Roman" w:eastAsia="宋体" w:cs="宋体"/>
          <w:b/>
          <w:color w:val="0000FF"/>
          <w:kern w:val="0"/>
          <w:sz w:val="24"/>
          <w:szCs w:val="24"/>
          <w:lang w:val="en-US" w:eastAsia="zh-CN"/>
        </w:rPr>
        <w:t>010108 科学技术哲学</w:t>
      </w:r>
    </w:p>
    <w:p>
      <w:pPr>
        <w:widowControl/>
        <w:adjustRightInd w:val="0"/>
        <w:snapToGrid w:val="0"/>
        <w:spacing w:line="360" w:lineRule="auto"/>
        <w:jc w:val="left"/>
        <w:rPr>
          <w:rFonts w:hint="eastAsia" w:ascii="Times New Roman" w:hAnsi="Times New Roman" w:eastAsia="宋体" w:cs="宋体"/>
          <w:b/>
          <w:kern w:val="0"/>
          <w:sz w:val="24"/>
          <w:szCs w:val="24"/>
          <w:lang w:eastAsia="zh-TW"/>
        </w:rPr>
      </w:pP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sz w:val="24"/>
          <w:szCs w:val="24"/>
        </w:rPr>
      </w:pPr>
      <w:r>
        <w:rPr>
          <w:rFonts w:hint="eastAsia" w:ascii="Times New Roman" w:hAnsi="Times New Roman" w:eastAsia="宋体" w:cs="宋体"/>
          <w:color w:val="000000"/>
          <w:w w:val="100"/>
          <w:kern w:val="28"/>
          <w:sz w:val="24"/>
          <w:szCs w:val="24"/>
          <w:lang w:val="zh-CN" w:eastAsia="zh-CN" w:bidi="ar"/>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Times New Roman" w:hAnsi="Times New Roman" w:eastAsia="宋体" w:cs="宋体"/>
          <w:color w:val="000000"/>
          <w:w w:val="100"/>
          <w:kern w:val="28"/>
          <w:sz w:val="24"/>
          <w:szCs w:val="24"/>
          <w:lang w:val="zh-CN" w:eastAsia="zh-CN" w:bidi="ar"/>
        </w:rPr>
        <w:instrText xml:space="preserve">ADDIN CNKISM.UserStyle</w:instrText>
      </w:r>
      <w:r>
        <w:rPr>
          <w:rFonts w:hint="eastAsia" w:ascii="Times New Roman" w:hAnsi="Times New Roman" w:eastAsia="宋体" w:cs="宋体"/>
          <w:color w:val="000000"/>
          <w:w w:val="100"/>
          <w:kern w:val="28"/>
          <w:sz w:val="24"/>
          <w:szCs w:val="24"/>
          <w:lang w:val="zh-CN" w:eastAsia="zh-CN" w:bidi="ar"/>
        </w:rPr>
        <w:fldChar w:fldCharType="separate"/>
      </w:r>
      <w:r>
        <w:rPr>
          <w:rFonts w:hint="eastAsia" w:ascii="Times New Roman" w:hAnsi="Times New Roman" w:eastAsia="宋体" w:cs="宋体"/>
          <w:color w:val="000000"/>
          <w:w w:val="100"/>
          <w:kern w:val="28"/>
          <w:sz w:val="24"/>
          <w:szCs w:val="24"/>
          <w:lang w:val="zh-CN" w:eastAsia="zh-CN" w:bidi="ar"/>
        </w:rPr>
        <w:fldChar w:fldCharType="end"/>
      </w:r>
      <w:r>
        <w:rPr>
          <w:rFonts w:hint="eastAsia" w:ascii="Times New Roman" w:hAnsi="Times New Roman" w:eastAsia="宋体" w:cs="宋体"/>
          <w:color w:val="000000"/>
          <w:w w:val="100"/>
          <w:kern w:val="28"/>
          <w:sz w:val="24"/>
          <w:szCs w:val="24"/>
          <w:lang w:val="zh-CN" w:eastAsia="zh-CN" w:bidi="ar"/>
        </w:rPr>
        <w:t>华南师范大学科学技术哲学</w:t>
      </w:r>
      <w:r>
        <w:rPr>
          <w:rFonts w:hint="eastAsia" w:ascii="Times New Roman" w:hAnsi="Times New Roman" w:eastAsia="宋体" w:cs="宋体"/>
          <w:color w:val="000000"/>
          <w:w w:val="100"/>
          <w:kern w:val="28"/>
          <w:sz w:val="24"/>
          <w:szCs w:val="24"/>
          <w:lang w:val="en-US" w:eastAsia="zh-CN" w:bidi="ar"/>
        </w:rPr>
        <w:t>学科</w:t>
      </w:r>
      <w:r>
        <w:rPr>
          <w:rFonts w:hint="eastAsia" w:ascii="Times New Roman" w:hAnsi="Times New Roman" w:eastAsia="宋体" w:cs="宋体"/>
          <w:color w:val="000000"/>
          <w:w w:val="100"/>
          <w:kern w:val="28"/>
          <w:sz w:val="24"/>
          <w:szCs w:val="24"/>
          <w:lang w:val="zh-CN" w:eastAsia="zh-CN" w:bidi="ar"/>
        </w:rPr>
        <w:t>历史悠久、实力雄厚、特色鲜明。</w:t>
      </w:r>
      <w:r>
        <w:rPr>
          <w:rFonts w:hint="eastAsia" w:ascii="Times New Roman" w:hAnsi="Times New Roman" w:eastAsia="宋体" w:cs="宋体"/>
          <w:color w:val="000000"/>
          <w:w w:val="100"/>
          <w:kern w:val="28"/>
          <w:sz w:val="24"/>
          <w:szCs w:val="24"/>
          <w:lang w:val="en-US" w:eastAsia="zh-CN" w:bidi="ar"/>
        </w:rPr>
        <w:t>1979年成为全国第一批该专业硕士学位授予权单位；在</w:t>
      </w:r>
      <w:r>
        <w:rPr>
          <w:rFonts w:hint="eastAsia" w:ascii="Times New Roman" w:hAnsi="Times New Roman" w:eastAsia="宋体" w:cs="宋体"/>
          <w:color w:val="auto"/>
          <w:w w:val="100"/>
          <w:kern w:val="28"/>
          <w:sz w:val="24"/>
          <w:szCs w:val="24"/>
          <w:lang w:val="zh-CN" w:eastAsia="zh-CN" w:bidi="ar"/>
        </w:rPr>
        <w:t>华南师范大学原校长</w:t>
      </w:r>
      <w:r>
        <w:rPr>
          <w:rFonts w:hint="eastAsia" w:ascii="Times New Roman" w:hAnsi="Times New Roman" w:eastAsia="宋体" w:cs="宋体"/>
          <w:color w:val="000000"/>
          <w:w w:val="100"/>
          <w:kern w:val="28"/>
          <w:sz w:val="24"/>
          <w:szCs w:val="24"/>
          <w:lang w:val="en-US" w:eastAsia="zh-CN" w:bidi="ar"/>
        </w:rPr>
        <w:t>颜泽贤教授的带领下，</w:t>
      </w:r>
      <w:r>
        <w:rPr>
          <w:rFonts w:hint="eastAsia" w:ascii="Times New Roman" w:hAnsi="Times New Roman" w:eastAsia="宋体" w:cs="宋体"/>
          <w:color w:val="000000"/>
          <w:w w:val="100"/>
          <w:kern w:val="28"/>
          <w:sz w:val="24"/>
          <w:szCs w:val="24"/>
          <w:lang w:val="zh-CN" w:eastAsia="zh-CN" w:bidi="ar"/>
        </w:rPr>
        <w:t>于</w:t>
      </w:r>
      <w:r>
        <w:rPr>
          <w:rFonts w:hint="eastAsia" w:ascii="Times New Roman" w:hAnsi="Times New Roman" w:eastAsia="宋体" w:cs="宋体"/>
          <w:color w:val="000000"/>
          <w:w w:val="100"/>
          <w:kern w:val="28"/>
          <w:sz w:val="24"/>
          <w:szCs w:val="24"/>
          <w:lang w:val="en-US" w:eastAsia="zh-CN" w:bidi="ar"/>
        </w:rPr>
        <w:t>2000</w:t>
      </w:r>
      <w:r>
        <w:rPr>
          <w:rFonts w:hint="eastAsia" w:ascii="Times New Roman" w:hAnsi="Times New Roman" w:eastAsia="宋体" w:cs="宋体"/>
          <w:color w:val="000000"/>
          <w:w w:val="100"/>
          <w:kern w:val="28"/>
          <w:sz w:val="24"/>
          <w:szCs w:val="24"/>
          <w:lang w:val="zh-CN" w:eastAsia="zh-CN" w:bidi="ar"/>
        </w:rPr>
        <w:t>年获得博士学位授权点。</w:t>
      </w:r>
      <w:r>
        <w:rPr>
          <w:rFonts w:hint="eastAsia" w:ascii="Times New Roman" w:hAnsi="Times New Roman" w:eastAsia="宋体" w:cs="宋体"/>
          <w:color w:val="000000"/>
          <w:w w:val="100"/>
          <w:kern w:val="28"/>
          <w:sz w:val="24"/>
          <w:szCs w:val="24"/>
          <w:lang w:val="en-US" w:eastAsia="zh-CN" w:bidi="ar"/>
        </w:rPr>
        <w:t>颜泽贤教授是</w:t>
      </w:r>
      <w:r>
        <w:rPr>
          <w:rFonts w:hint="eastAsia" w:ascii="Times New Roman" w:hAnsi="Times New Roman" w:eastAsia="宋体" w:cs="宋体"/>
          <w:color w:val="auto"/>
          <w:w w:val="100"/>
          <w:kern w:val="28"/>
          <w:sz w:val="24"/>
          <w:szCs w:val="24"/>
          <w:lang w:val="zh-CN" w:eastAsia="zh-CN" w:bidi="ar"/>
        </w:rPr>
        <w:t>澳门城市大学创校校长、曾任广东省社会科学联合会主席、广东高等教育学会会长等职务。</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sz w:val="24"/>
          <w:szCs w:val="24"/>
          <w:lang w:val="zh-CN" w:eastAsia="zh-CN"/>
        </w:rPr>
      </w:pPr>
      <w:r>
        <w:rPr>
          <w:rFonts w:hint="eastAsia" w:ascii="Times New Roman" w:hAnsi="Times New Roman" w:eastAsia="宋体" w:cs="宋体"/>
          <w:color w:val="000000"/>
          <w:w w:val="100"/>
          <w:kern w:val="28"/>
          <w:sz w:val="24"/>
          <w:szCs w:val="24"/>
          <w:lang w:val="zh-CN" w:eastAsia="zh-CN" w:bidi="ar"/>
        </w:rPr>
        <w:t>华南师范大学科学技术哲学</w:t>
      </w:r>
      <w:r>
        <w:rPr>
          <w:rFonts w:hint="eastAsia" w:ascii="Times New Roman" w:hAnsi="Times New Roman" w:eastAsia="宋体" w:cs="宋体"/>
          <w:color w:val="000000"/>
          <w:w w:val="100"/>
          <w:kern w:val="28"/>
          <w:sz w:val="24"/>
          <w:szCs w:val="24"/>
          <w:lang w:val="en-US" w:eastAsia="zh-CN" w:bidi="ar"/>
        </w:rPr>
        <w:t>学科是</w:t>
      </w:r>
      <w:r>
        <w:rPr>
          <w:rFonts w:hint="eastAsia" w:ascii="Times New Roman" w:hAnsi="Times New Roman" w:eastAsia="宋体" w:cs="宋体"/>
          <w:color w:val="auto"/>
          <w:w w:val="100"/>
          <w:kern w:val="28"/>
          <w:sz w:val="24"/>
          <w:szCs w:val="24"/>
          <w:lang w:val="zh-CN" w:eastAsia="zh-CN" w:bidi="ar"/>
        </w:rPr>
        <w:t>广东省重点学科，广东省普通高校人文社会科学重点硏究基地。</w:t>
      </w:r>
      <w:r>
        <w:rPr>
          <w:rFonts w:hint="eastAsia" w:ascii="Times New Roman" w:hAnsi="Times New Roman" w:eastAsia="宋体" w:cs="宋体"/>
          <w:color w:val="000000"/>
          <w:w w:val="100"/>
          <w:kern w:val="28"/>
          <w:sz w:val="24"/>
          <w:szCs w:val="24"/>
          <w:lang w:val="zh-CN" w:eastAsia="zh-CN" w:bidi="ar"/>
        </w:rPr>
        <w:t>科学技术与社会研究院师资团队结构合理，老中青结合，具有创新活力。专任教师中，有国家“万人计划”哲学社会科学领军人才等国家级人才，青年教师主要毕业于中国人民大学、中国科学院大学、北京师范大学、香港中文大学、美国匹兹堡大学、澳洲昆士兰大学等著名高校。同时，还聘请了国内外知名的专家学者作为</w:t>
      </w:r>
      <w:r>
        <w:rPr>
          <w:rFonts w:hint="eastAsia" w:ascii="Times New Roman" w:hAnsi="Times New Roman" w:eastAsia="宋体" w:cs="宋体"/>
          <w:color w:val="000000"/>
          <w:w w:val="100"/>
          <w:kern w:val="28"/>
          <w:sz w:val="24"/>
          <w:szCs w:val="24"/>
          <w:lang w:val="en-US" w:eastAsia="zh-CN" w:bidi="ar"/>
        </w:rPr>
        <w:t>科社院</w:t>
      </w:r>
      <w:r>
        <w:rPr>
          <w:rFonts w:hint="eastAsia" w:ascii="Times New Roman" w:hAnsi="Times New Roman" w:eastAsia="宋体" w:cs="宋体"/>
          <w:color w:val="000000"/>
          <w:w w:val="100"/>
          <w:kern w:val="28"/>
          <w:sz w:val="24"/>
          <w:szCs w:val="24"/>
          <w:lang w:val="zh-CN" w:eastAsia="zh-CN" w:bidi="ar"/>
        </w:rPr>
        <w:t>客座教授和学术顾问。</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目前主要开设了2个博士招生方向</w:t>
      </w:r>
      <w:r>
        <w:rPr>
          <w:rFonts w:hint="eastAsia" w:ascii="Times New Roman" w:hAnsi="Times New Roman" w:eastAsia="宋体" w:cs="宋体"/>
          <w:color w:val="000000"/>
          <w:w w:val="100"/>
          <w:kern w:val="28"/>
          <w:sz w:val="24"/>
          <w:szCs w:val="24"/>
          <w:lang w:val="zh-CN" w:eastAsia="zh-CN" w:bidi="ar"/>
        </w:rPr>
        <w:t>：</w:t>
      </w:r>
      <w:r>
        <w:rPr>
          <w:rFonts w:hint="eastAsia" w:ascii="Times New Roman" w:hAnsi="Times New Roman" w:eastAsia="宋体" w:cs="宋体"/>
          <w:color w:val="000000"/>
          <w:w w:val="100"/>
          <w:kern w:val="28"/>
          <w:sz w:val="24"/>
          <w:szCs w:val="24"/>
          <w:lang w:val="en-US" w:eastAsia="zh-CN" w:bidi="ar"/>
        </w:rPr>
        <w:t>系统科学哲学与系统管理；生态学哲学与科学技术环境论。设有博士后流动站，已招收十余名来自国内外著名大学的博士毕业生入站进行博士后研究。</w:t>
      </w:r>
      <w:r>
        <w:rPr>
          <w:rFonts w:hint="eastAsia" w:ascii="Times New Roman" w:hAnsi="Times New Roman" w:eastAsia="宋体" w:cs="宋体"/>
          <w:color w:val="000000"/>
          <w:w w:val="100"/>
          <w:kern w:val="28"/>
          <w:sz w:val="24"/>
          <w:szCs w:val="24"/>
          <w:lang w:val="zh-CN" w:eastAsia="zh-CN" w:bidi="ar"/>
        </w:rPr>
        <w:t>学科在跨学科综合型创新人才培养、科学研究的特色化与国际化、文化传承与服务社会的高端智库等方面取得较好成绩。</w:t>
      </w:r>
      <w:r>
        <w:rPr>
          <w:rFonts w:hint="eastAsia" w:ascii="Times New Roman" w:hAnsi="Times New Roman" w:eastAsia="宋体" w:cs="宋体"/>
          <w:color w:val="000000"/>
          <w:w w:val="100"/>
          <w:kern w:val="28"/>
          <w:sz w:val="24"/>
          <w:szCs w:val="24"/>
          <w:lang w:val="en-US" w:eastAsia="zh-CN" w:bidi="ar"/>
        </w:rPr>
        <w:t>许多毕业生成为政府高层管理人员、著名专家学者、成功企业家或核心管理骨干。</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b/>
          <w:bCs/>
          <w:color w:val="000000"/>
          <w:w w:val="100"/>
          <w:kern w:val="28"/>
          <w:sz w:val="24"/>
          <w:szCs w:val="24"/>
          <w:lang w:val="en-US" w:eastAsia="zh-CN" w:bidi="ar"/>
        </w:rPr>
      </w:pPr>
      <w:r>
        <w:rPr>
          <w:rFonts w:hint="eastAsia" w:ascii="Times New Roman" w:hAnsi="Times New Roman" w:eastAsia="宋体" w:cs="宋体"/>
          <w:b/>
          <w:bCs/>
          <w:color w:val="000000"/>
          <w:w w:val="100"/>
          <w:kern w:val="28"/>
          <w:sz w:val="24"/>
          <w:szCs w:val="24"/>
          <w:lang w:val="en-US" w:eastAsia="zh-CN" w:bidi="ar"/>
        </w:rPr>
        <w:t>考试大纲：</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b/>
          <w:bCs/>
          <w:color w:val="000000"/>
          <w:w w:val="100"/>
          <w:kern w:val="28"/>
          <w:sz w:val="24"/>
          <w:szCs w:val="24"/>
          <w:lang w:val="en-US" w:eastAsia="zh-CN" w:bidi="ar"/>
        </w:rPr>
        <w:t>《科学哲学》科目</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一、科学、经验与观察</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1.常识科学观。</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2.观察命题与可观察事实。</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3.观察渗透理论。</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二、归纳推理</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1.科学定律与归纳推理的关系。</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2.归纳主义与归纳问题。</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3.归纳主义确证观。</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三、否证主义（证伪主义）</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1.否证主义的概念。</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2.否证主义的逻辑基础。</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3.可否证性与理论标准的关系。</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4.否证主义与科学进步。</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5.否证主义的局限。</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四、范式理论</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1.范式的概念。</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2.科学共同体。</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3.常规科学与反常。</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4.危机与科学革命。</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5.常规科学与革命的功能。</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6.库恩科学观与科学进步。</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7.库恩科学观的优点与局限。</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五、科学研究纲领</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1.硬核、保护带、纲领的概念。</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2.拉卡托斯的科学研究纲领。</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3.正面助发现法与反面助发现法。</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3.新颖的预见与科学进步。</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4.拉卡托斯方法论的局限。</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六、规律</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1.规律、规则、定律的概念。</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2.规律与科学理论的关系。</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七、实在论与反实在论</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1.科学实在论的基本观点。</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2.猜想实在论、结构实在论。</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3.科学实在论的局限。</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4.反实在论的基本观点。</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5.反实在论的局限。</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参考书目：《科学究竟是什么？》（英）A.F.查尔默斯著，鲁旭东译，商务印书馆，2018.</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b/>
          <w:bCs/>
          <w:color w:val="000000"/>
          <w:w w:val="100"/>
          <w:kern w:val="28"/>
          <w:sz w:val="24"/>
          <w:szCs w:val="24"/>
          <w:lang w:val="en-US" w:eastAsia="zh-CN" w:bidi="ar"/>
        </w:rPr>
        <w:t>《科学、技术与社会（STS）》科目</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一、总论</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1. 科学、技术与社会（science，technology and society,简称STS或ST&amp;S）与科学技术学（science and technology studies）的区别与联系</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2.科学技术与社会（科学技术学）与科学技术哲学、科学技术社会学的区别与联系</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二、科学技术学前史</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1.理想的科学主义科学观或形式主义科学观或传统的科学图景、常识科学观或标准和科学图景的内涵</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2.科学与非科学的划界标准</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3.科学理论检验的不完全决定（undetermined）与科学认识的真理性</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4.科学与技术之间的区别与联系</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三、质疑功能主义科学社会学</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1.默顿科学共同体社会规范规范的四原则</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2.默顿科学的社会规范与科学认知规范之间的区别与联系</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3.默顿科学共同体社会规范规范的四原则是普遍的和绝对的吗？为什么？</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四、科学界的分层与歧视</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1.理解科学界的分层现象</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2.理解并且评价科学界的“马太效应”</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3.评价科学界的“量化考核”政策</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4.了解影响科学家产出率的因素以及产出率高的科学家所具有的特征。</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五、强纲领与知识社会学</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1.科学知识社会学的强纲领的主要内涵</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2.科学知识社会学的“四信条”</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3.社会有限论以及其在科学上的意义。</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4.科学技术知识的外在主义解释和内在主义解释</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5.社会建构论、相对主义的经验纲领、符号互动论、本土方法论</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 xml:space="preserve">6.利益分析模型的欠缺及其价值 </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六、科学技术实在的社会建构</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1.科学实在论与实在的社会建构及其意义</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2.巴舍拉尔的“现象技术（phenomenotechnique）、范弗拉森的“建构经验主义”以及他人提出的“技术科学（technoscience）”</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七、行动者网络理论</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 xml:space="preserve">1.行动者网络理论的内涵 </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2.行动者网络理论可能存在什么样的问题</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3.以案例说明行动网络者理论或以行动网络者理论分析某一案例</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八、两个关涉技术的问题</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1.“技术是应用科学”的观点恰当吗？请对此加以评论</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2.“基于科学的技术（science-based technology）”与“技术导向型的科学（technology-oriented science）”</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3．基础理论研究与基础应用研究或学院科学和产业科学、政府科学？</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4.技术决定论的内涵及其表现</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5.技术的社会建构论的内涵</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九、实验室及其实验事实的建构</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1.为什么说科学知识也是一种地方性知识？</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2.如何理解知识传播的规则模型和文化适应模型</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3.“实验者倒退”（experimenter’s regress）对于科学认识的意义</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4.实验室事实建构与科学认识的地方性和普遍性的内涵</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十、科学技术争论</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1.理解科学争论的内涵</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2.了解争论中的利益模型内涵</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3.参与争论者采取了什么样的修辞手段捍卫自己的立场</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4.科学技术中的争论是如何解决的</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5.理解“争论研究以及从事争论研究的人，有被争论参与者‘俘虏’的危险。”</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十一、女性主义科学与后殖民科学</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1.科学家的分层越精英化，女性和一些少数群体的比例就越低，就是“漏管”现象</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2.科学界的女性“漏管”现象是由生理性别（天然的）造成的还是由社会性别（后天的）造成的？</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3.种族是科学技术的建构吗？</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4.殖民地的进行与技术之间的关系及其对殖民地的影响</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5.“后殖民科学”的内涵以及它相对于发达国家和欠发达国家的意义</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十二、科学技术的非自然性</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1.理论与实验之间的关系以及“实验有其自身的生命”</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2.实验的地方性内涵</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3.重复（replication）实验与祛地方化（delocalization）</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4.实验室的人工对象或现象的制造与“实验知识的非自然性”</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5.理论知识（数学、模型、理论）的非自然性</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6．实验知识和理论知识的非自然性与环境问题</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7.科学认识的理想性、普遍性与地方性、人工性</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十</w:t>
      </w:r>
      <w:r>
        <w:rPr>
          <w:rFonts w:hint="eastAsia" w:cs="宋体"/>
          <w:color w:val="000000"/>
          <w:w w:val="100"/>
          <w:kern w:val="28"/>
          <w:sz w:val="24"/>
          <w:szCs w:val="24"/>
          <w:lang w:val="en-US" w:eastAsia="zh-CN" w:bidi="ar"/>
        </w:rPr>
        <w:t>三</w:t>
      </w:r>
      <w:bookmarkStart w:id="0" w:name="_GoBack"/>
      <w:bookmarkEnd w:id="0"/>
      <w:r>
        <w:rPr>
          <w:rFonts w:hint="eastAsia" w:ascii="Times New Roman" w:hAnsi="Times New Roman" w:eastAsia="宋体" w:cs="宋体"/>
          <w:color w:val="000000"/>
          <w:w w:val="100"/>
          <w:kern w:val="28"/>
          <w:sz w:val="24"/>
          <w:szCs w:val="24"/>
          <w:lang w:val="en-US" w:eastAsia="zh-CN" w:bidi="ar"/>
        </w:rPr>
        <w:t>、专家与公众理解科学</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1.科学普及与科学传播</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2.科技成果的宣传与传播</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3.科学技术决策中的专家与公众</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r>
        <w:rPr>
          <w:rFonts w:hint="eastAsia" w:ascii="Times New Roman" w:hAnsi="Times New Roman" w:eastAsia="宋体" w:cs="宋体"/>
          <w:color w:val="000000"/>
          <w:w w:val="100"/>
          <w:kern w:val="28"/>
          <w:sz w:val="24"/>
          <w:szCs w:val="24"/>
          <w:lang w:val="en-US" w:eastAsia="zh-CN" w:bidi="ar"/>
        </w:rPr>
        <w:t>4.公众理解科学</w:t>
      </w:r>
    </w:p>
    <w:p>
      <w:pPr>
        <w:keepNext w:val="0"/>
        <w:keepLines w:val="0"/>
        <w:widowControl w:val="0"/>
        <w:suppressLineNumbers w:val="0"/>
        <w:spacing w:before="0" w:beforeAutospacing="0" w:after="120" w:afterAutospacing="0" w:line="360" w:lineRule="auto"/>
        <w:ind w:left="0" w:right="0" w:firstLine="480"/>
        <w:jc w:val="both"/>
        <w:rPr>
          <w:rFonts w:hint="eastAsia" w:ascii="宋体" w:hAnsi="宋体" w:eastAsia="宋体" w:cs="宋体"/>
          <w:color w:val="000000"/>
          <w:w w:val="100"/>
          <w:kern w:val="28"/>
          <w:sz w:val="24"/>
          <w:szCs w:val="24"/>
          <w:lang w:val="en-US" w:eastAsia="zh-CN" w:bidi="ar"/>
        </w:rPr>
      </w:pPr>
    </w:p>
    <w:p>
      <w:pPr>
        <w:keepNext w:val="0"/>
        <w:keepLines w:val="0"/>
        <w:widowControl w:val="0"/>
        <w:suppressLineNumbers w:val="0"/>
        <w:spacing w:before="0" w:beforeAutospacing="0" w:after="120" w:afterAutospacing="0" w:line="360" w:lineRule="auto"/>
        <w:ind w:left="0" w:right="0" w:firstLine="480"/>
        <w:jc w:val="both"/>
        <w:rPr>
          <w:rFonts w:hint="eastAsia" w:ascii="宋体" w:hAnsi="宋体" w:eastAsia="宋体" w:cs="宋体"/>
          <w:color w:val="000000"/>
          <w:w w:val="100"/>
          <w:kern w:val="28"/>
          <w:sz w:val="24"/>
          <w:szCs w:val="24"/>
          <w:lang w:val="en-US" w:eastAsia="zh-CN" w:bidi="ar"/>
        </w:rPr>
      </w:pPr>
      <w:r>
        <w:rPr>
          <w:rFonts w:hint="eastAsia" w:ascii="宋体" w:hAnsi="宋体" w:eastAsia="宋体" w:cs="宋体"/>
          <w:color w:val="000000"/>
          <w:w w:val="100"/>
          <w:kern w:val="28"/>
          <w:sz w:val="24"/>
          <w:szCs w:val="24"/>
          <w:lang w:val="en-US" w:eastAsia="zh-CN" w:bidi="ar"/>
        </w:rPr>
        <w:t>参考书目：《科学技术学导论》（加）瑟乔·西斯蒙多，许为民等译，上海世纪出版集团，2007年8月第1版。</w:t>
      </w: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p>
    <w:p>
      <w:pPr>
        <w:keepNext w:val="0"/>
        <w:keepLines w:val="0"/>
        <w:widowControl w:val="0"/>
        <w:suppressLineNumbers w:val="0"/>
        <w:spacing w:before="0" w:beforeAutospacing="0" w:after="120" w:afterAutospacing="0" w:line="360" w:lineRule="auto"/>
        <w:ind w:left="0" w:right="0" w:firstLine="480"/>
        <w:jc w:val="both"/>
        <w:rPr>
          <w:rFonts w:hint="eastAsia" w:ascii="Times New Roman" w:hAnsi="Times New Roman" w:eastAsia="宋体" w:cs="宋体"/>
          <w:color w:val="000000"/>
          <w:w w:val="100"/>
          <w:kern w:val="28"/>
          <w:sz w:val="24"/>
          <w:szCs w:val="24"/>
          <w:lang w:val="en-US" w:eastAsia="zh-CN" w:bidi="ar"/>
        </w:rPr>
      </w:pPr>
    </w:p>
    <w:p>
      <w:pPr>
        <w:spacing w:line="360" w:lineRule="auto"/>
        <w:rPr>
          <w:rFonts w:hint="eastAsia" w:ascii="Times New Roman" w:hAnsi="Times New Roman"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E37"/>
    <w:multiLevelType w:val="multilevel"/>
    <w:tmpl w:val="02657E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64474C"/>
    <w:multiLevelType w:val="multilevel"/>
    <w:tmpl w:val="0664474C"/>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7253DF2"/>
    <w:multiLevelType w:val="multilevel"/>
    <w:tmpl w:val="07253D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D941EB8"/>
    <w:multiLevelType w:val="multilevel"/>
    <w:tmpl w:val="0D941EB8"/>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0E517A6A"/>
    <w:multiLevelType w:val="multilevel"/>
    <w:tmpl w:val="0E517A6A"/>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27B25A5"/>
    <w:multiLevelType w:val="multilevel"/>
    <w:tmpl w:val="127B25A5"/>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3CA67E5"/>
    <w:multiLevelType w:val="multilevel"/>
    <w:tmpl w:val="13CA67E5"/>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7">
    <w:nsid w:val="19BE5006"/>
    <w:multiLevelType w:val="multilevel"/>
    <w:tmpl w:val="19BE5006"/>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8">
    <w:nsid w:val="21B55CA6"/>
    <w:multiLevelType w:val="multilevel"/>
    <w:tmpl w:val="21B55CA6"/>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5643701"/>
    <w:multiLevelType w:val="multilevel"/>
    <w:tmpl w:val="25643701"/>
    <w:lvl w:ilvl="0" w:tentative="0">
      <w:start w:val="1"/>
      <w:numFmt w:val="decimal"/>
      <w:lvlText w:val="%1"/>
      <w:lvlJc w:val="left"/>
      <w:pPr>
        <w:ind w:left="360" w:hanging="360"/>
      </w:pPr>
      <w:rPr>
        <w:rFonts w:hint="default"/>
      </w:rPr>
    </w:lvl>
    <w:lvl w:ilvl="1" w:tentative="0">
      <w:start w:val="1"/>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1980" w:hanging="720"/>
      </w:pPr>
      <w:rPr>
        <w:rFonts w:hint="default"/>
      </w:rPr>
    </w:lvl>
    <w:lvl w:ilvl="4" w:tentative="0">
      <w:start w:val="1"/>
      <w:numFmt w:val="decimal"/>
      <w:lvlText w:val="%1.%2.%3.%4.%5"/>
      <w:lvlJc w:val="left"/>
      <w:pPr>
        <w:ind w:left="2400" w:hanging="720"/>
      </w:pPr>
      <w:rPr>
        <w:rFonts w:hint="default"/>
      </w:rPr>
    </w:lvl>
    <w:lvl w:ilvl="5" w:tentative="0">
      <w:start w:val="1"/>
      <w:numFmt w:val="decimal"/>
      <w:lvlText w:val="%1.%2.%3.%4.%5.%6"/>
      <w:lvlJc w:val="left"/>
      <w:pPr>
        <w:ind w:left="3180" w:hanging="1080"/>
      </w:pPr>
      <w:rPr>
        <w:rFonts w:hint="default"/>
      </w:rPr>
    </w:lvl>
    <w:lvl w:ilvl="6" w:tentative="0">
      <w:start w:val="1"/>
      <w:numFmt w:val="decimal"/>
      <w:lvlText w:val="%1.%2.%3.%4.%5.%6.%7"/>
      <w:lvlJc w:val="left"/>
      <w:pPr>
        <w:ind w:left="3600" w:hanging="1080"/>
      </w:pPr>
      <w:rPr>
        <w:rFonts w:hint="default"/>
      </w:rPr>
    </w:lvl>
    <w:lvl w:ilvl="7" w:tentative="0">
      <w:start w:val="1"/>
      <w:numFmt w:val="decimal"/>
      <w:lvlText w:val="%1.%2.%3.%4.%5.%6.%7.%8"/>
      <w:lvlJc w:val="left"/>
      <w:pPr>
        <w:ind w:left="4380" w:hanging="1440"/>
      </w:pPr>
      <w:rPr>
        <w:rFonts w:hint="default"/>
      </w:rPr>
    </w:lvl>
    <w:lvl w:ilvl="8" w:tentative="0">
      <w:start w:val="1"/>
      <w:numFmt w:val="decimal"/>
      <w:lvlText w:val="%1.%2.%3.%4.%5.%6.%7.%8.%9"/>
      <w:lvlJc w:val="left"/>
      <w:pPr>
        <w:ind w:left="4800" w:hanging="1440"/>
      </w:pPr>
      <w:rPr>
        <w:rFonts w:hint="default"/>
      </w:rPr>
    </w:lvl>
  </w:abstractNum>
  <w:abstractNum w:abstractNumId="10">
    <w:nsid w:val="26682384"/>
    <w:multiLevelType w:val="multilevel"/>
    <w:tmpl w:val="26682384"/>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11">
    <w:nsid w:val="26E263E2"/>
    <w:multiLevelType w:val="multilevel"/>
    <w:tmpl w:val="26E263E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26FC54B6"/>
    <w:multiLevelType w:val="multilevel"/>
    <w:tmpl w:val="26FC54B6"/>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29973206"/>
    <w:multiLevelType w:val="multilevel"/>
    <w:tmpl w:val="29973206"/>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32DF658F"/>
    <w:multiLevelType w:val="multilevel"/>
    <w:tmpl w:val="32DF65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AF924D1"/>
    <w:multiLevelType w:val="multilevel"/>
    <w:tmpl w:val="3AF924D1"/>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3CE72C6F"/>
    <w:multiLevelType w:val="multilevel"/>
    <w:tmpl w:val="3CE72C6F"/>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450637E7"/>
    <w:multiLevelType w:val="multilevel"/>
    <w:tmpl w:val="450637E7"/>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468F1637"/>
    <w:multiLevelType w:val="multilevel"/>
    <w:tmpl w:val="468F1637"/>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4A8B0336"/>
    <w:multiLevelType w:val="multilevel"/>
    <w:tmpl w:val="4A8B0336"/>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4CC32042"/>
    <w:multiLevelType w:val="multilevel"/>
    <w:tmpl w:val="4CC3204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4E1674CC"/>
    <w:multiLevelType w:val="multilevel"/>
    <w:tmpl w:val="4E1674CC"/>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22">
    <w:nsid w:val="568576D9"/>
    <w:multiLevelType w:val="multilevel"/>
    <w:tmpl w:val="568576D9"/>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56FD7B28"/>
    <w:multiLevelType w:val="multilevel"/>
    <w:tmpl w:val="56FD7B28"/>
    <w:lvl w:ilvl="0" w:tentative="0">
      <w:start w:val="1"/>
      <w:numFmt w:val="chineseCount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80EFA58"/>
    <w:multiLevelType w:val="singleLevel"/>
    <w:tmpl w:val="580EFA58"/>
    <w:lvl w:ilvl="0" w:tentative="0">
      <w:start w:val="1"/>
      <w:numFmt w:val="decimal"/>
      <w:suff w:val="nothing"/>
      <w:lvlText w:val="%1."/>
      <w:lvlJc w:val="left"/>
    </w:lvl>
  </w:abstractNum>
  <w:abstractNum w:abstractNumId="25">
    <w:nsid w:val="580EFA8A"/>
    <w:multiLevelType w:val="singleLevel"/>
    <w:tmpl w:val="580EFA8A"/>
    <w:lvl w:ilvl="0" w:tentative="0">
      <w:start w:val="1"/>
      <w:numFmt w:val="decimal"/>
      <w:suff w:val="space"/>
      <w:lvlText w:val="%1."/>
      <w:lvlJc w:val="left"/>
    </w:lvl>
  </w:abstractNum>
  <w:abstractNum w:abstractNumId="26">
    <w:nsid w:val="58BA28C4"/>
    <w:multiLevelType w:val="multilevel"/>
    <w:tmpl w:val="58BA28C4"/>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5AE01EAB"/>
    <w:multiLevelType w:val="multilevel"/>
    <w:tmpl w:val="5AE01EAB"/>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5BA06586"/>
    <w:multiLevelType w:val="multilevel"/>
    <w:tmpl w:val="5BA06586"/>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FC2594B"/>
    <w:multiLevelType w:val="multilevel"/>
    <w:tmpl w:val="5FC2594B"/>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64153A01"/>
    <w:multiLevelType w:val="multilevel"/>
    <w:tmpl w:val="64153A01"/>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31">
    <w:nsid w:val="66DB3E06"/>
    <w:multiLevelType w:val="multilevel"/>
    <w:tmpl w:val="66DB3E06"/>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6B0E4DDD"/>
    <w:multiLevelType w:val="multilevel"/>
    <w:tmpl w:val="6B0E4DDD"/>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6BCA68FC"/>
    <w:multiLevelType w:val="multilevel"/>
    <w:tmpl w:val="6BCA68FC"/>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70A23EBE"/>
    <w:multiLevelType w:val="multilevel"/>
    <w:tmpl w:val="70A23EBE"/>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74AB1D43"/>
    <w:multiLevelType w:val="multilevel"/>
    <w:tmpl w:val="74AB1D43"/>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36">
    <w:nsid w:val="764A540F"/>
    <w:multiLevelType w:val="multilevel"/>
    <w:tmpl w:val="764A540F"/>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794071EB"/>
    <w:multiLevelType w:val="multilevel"/>
    <w:tmpl w:val="794071EB"/>
    <w:lvl w:ilvl="0" w:tentative="0">
      <w:start w:val="1"/>
      <w:numFmt w:val="decimal"/>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abstractNum w:abstractNumId="38">
    <w:nsid w:val="7CF10962"/>
    <w:multiLevelType w:val="multilevel"/>
    <w:tmpl w:val="7CF10962"/>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8"/>
  </w:num>
  <w:num w:numId="4">
    <w:abstractNumId w:val="21"/>
  </w:num>
  <w:num w:numId="5">
    <w:abstractNumId w:val="37"/>
  </w:num>
  <w:num w:numId="6">
    <w:abstractNumId w:val="7"/>
  </w:num>
  <w:num w:numId="7">
    <w:abstractNumId w:val="32"/>
  </w:num>
  <w:num w:numId="8">
    <w:abstractNumId w:val="20"/>
  </w:num>
  <w:num w:numId="9">
    <w:abstractNumId w:val="10"/>
  </w:num>
  <w:num w:numId="10">
    <w:abstractNumId w:val="30"/>
  </w:num>
  <w:num w:numId="11">
    <w:abstractNumId w:val="6"/>
  </w:num>
  <w:num w:numId="12">
    <w:abstractNumId w:val="13"/>
  </w:num>
  <w:num w:numId="13">
    <w:abstractNumId w:val="35"/>
  </w:num>
  <w:num w:numId="14">
    <w:abstractNumId w:val="23"/>
  </w:num>
  <w:num w:numId="15">
    <w:abstractNumId w:val="36"/>
  </w:num>
  <w:num w:numId="16">
    <w:abstractNumId w:val="3"/>
  </w:num>
  <w:num w:numId="17">
    <w:abstractNumId w:val="18"/>
  </w:num>
  <w:num w:numId="18">
    <w:abstractNumId w:val="34"/>
  </w:num>
  <w:num w:numId="19">
    <w:abstractNumId w:val="28"/>
  </w:num>
  <w:num w:numId="20">
    <w:abstractNumId w:val="26"/>
  </w:num>
  <w:num w:numId="21">
    <w:abstractNumId w:val="1"/>
  </w:num>
  <w:num w:numId="22">
    <w:abstractNumId w:val="27"/>
  </w:num>
  <w:num w:numId="23">
    <w:abstractNumId w:val="33"/>
  </w:num>
  <w:num w:numId="24">
    <w:abstractNumId w:val="16"/>
  </w:num>
  <w:num w:numId="25">
    <w:abstractNumId w:val="12"/>
  </w:num>
  <w:num w:numId="26">
    <w:abstractNumId w:val="31"/>
  </w:num>
  <w:num w:numId="27">
    <w:abstractNumId w:val="29"/>
  </w:num>
  <w:num w:numId="28">
    <w:abstractNumId w:val="5"/>
  </w:num>
  <w:num w:numId="29">
    <w:abstractNumId w:val="15"/>
  </w:num>
  <w:num w:numId="30">
    <w:abstractNumId w:val="19"/>
  </w:num>
  <w:num w:numId="31">
    <w:abstractNumId w:val="4"/>
  </w:num>
  <w:num w:numId="32">
    <w:abstractNumId w:val="17"/>
  </w:num>
  <w:num w:numId="33">
    <w:abstractNumId w:val="22"/>
  </w:num>
  <w:num w:numId="34">
    <w:abstractNumId w:val="8"/>
  </w:num>
  <w:num w:numId="35">
    <w:abstractNumId w:val="14"/>
  </w:num>
  <w:num w:numId="36">
    <w:abstractNumId w:val="24"/>
  </w:num>
  <w:num w:numId="37">
    <w:abstractNumId w:val="25"/>
  </w:num>
  <w:num w:numId="38">
    <w:abstractNumId w:val="1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40B6"/>
    <w:rsid w:val="005E586E"/>
    <w:rsid w:val="00812C24"/>
    <w:rsid w:val="00A16CB6"/>
    <w:rsid w:val="00CF40B6"/>
    <w:rsid w:val="00FD22E5"/>
    <w:rsid w:val="013E2680"/>
    <w:rsid w:val="01E26490"/>
    <w:rsid w:val="0204768D"/>
    <w:rsid w:val="04A467BD"/>
    <w:rsid w:val="04CD7226"/>
    <w:rsid w:val="146464BB"/>
    <w:rsid w:val="167C7F2A"/>
    <w:rsid w:val="19114C33"/>
    <w:rsid w:val="25110638"/>
    <w:rsid w:val="265E5D8F"/>
    <w:rsid w:val="28CE5A5E"/>
    <w:rsid w:val="2E825F7C"/>
    <w:rsid w:val="392C2704"/>
    <w:rsid w:val="3BDA7B5E"/>
    <w:rsid w:val="4CA304E2"/>
    <w:rsid w:val="50BE3EF5"/>
    <w:rsid w:val="53BF4FF9"/>
    <w:rsid w:val="54242D5E"/>
    <w:rsid w:val="543D6967"/>
    <w:rsid w:val="54BC1646"/>
    <w:rsid w:val="55BA7E09"/>
    <w:rsid w:val="64C02C80"/>
    <w:rsid w:val="71F43A7E"/>
    <w:rsid w:val="79025F2A"/>
    <w:rsid w:val="7B110E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Indent"/>
    <w:basedOn w:val="1"/>
    <w:link w:val="11"/>
    <w:qFormat/>
    <w:uiPriority w:val="0"/>
    <w:pPr>
      <w:spacing w:after="120"/>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34"/>
    <w:pPr>
      <w:ind w:firstLine="420" w:firstLineChars="200"/>
    </w:pPr>
  </w:style>
  <w:style w:type="character" w:customStyle="1" w:styleId="9">
    <w:name w:val="black0001"/>
    <w:qFormat/>
    <w:uiPriority w:val="0"/>
    <w:rPr>
      <w:b/>
      <w:bCs/>
      <w:color w:val="000000"/>
      <w:sz w:val="24"/>
      <w:szCs w:val="24"/>
    </w:rPr>
  </w:style>
  <w:style w:type="character" w:customStyle="1" w:styleId="10">
    <w:name w:val="页眉 字符"/>
    <w:basedOn w:val="7"/>
    <w:link w:val="5"/>
    <w:qFormat/>
    <w:uiPriority w:val="0"/>
    <w:rPr>
      <w:rFonts w:ascii="Times New Roman" w:hAnsi="Times New Roman" w:eastAsia="宋体" w:cs="Times New Roman"/>
      <w:kern w:val="2"/>
      <w:sz w:val="18"/>
      <w:szCs w:val="18"/>
    </w:rPr>
  </w:style>
  <w:style w:type="character" w:customStyle="1" w:styleId="11">
    <w:name w:val="正文文本缩进 Char"/>
    <w:link w:val="3"/>
    <w:qFormat/>
    <w:uiPriority w:val="0"/>
    <w:rPr>
      <w:rFonts w:ascii="Times New Roman" w:hAnsi="Times New Roman" w:eastAsia="宋体" w:cs="Times New Roman"/>
      <w:kern w:val="2"/>
      <w:sz w:val="21"/>
      <w:szCs w:val="24"/>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993</Words>
  <Characters>5661</Characters>
  <Lines>47</Lines>
  <Paragraphs>13</Paragraphs>
  <TotalTime>0</TotalTime>
  <ScaleCrop>false</ScaleCrop>
  <LinksUpToDate>false</LinksUpToDate>
  <CharactersWithSpaces>6641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zsb-zl</dc:creator>
  <cp:lastModifiedBy>龙湖</cp:lastModifiedBy>
  <dcterms:modified xsi:type="dcterms:W3CDTF">2021-01-07T11:55:55Z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