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附件 2：考试方法与评分标准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2020 年华南师范大学高水平运动员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 xml:space="preserve">专项考试方法与评分标准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lang w:val="en-US" w:eastAsia="zh-CN"/>
        </w:rPr>
        <w:t xml:space="preserve">                            </w:t>
      </w:r>
      <w:r>
        <w:rPr>
          <w:rFonts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 xml:space="preserve">（乒乓球）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 xml:space="preserve">考核指标与所占分值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3829685" cy="81724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968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 xml:space="preserve">二、考试方法与评分标准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实战能力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比赛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（1）考试方法：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按单独招生、高考招生分组，分别组织男女考生进行比赛。比赛采用五局三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胜制，每局 11 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根据实际报名人数，比赛分两个阶段进行（报名人数不足 6 人，进行单循环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赛决出名次）：第一阶段采用分组循环赛决出小组名次；第二阶段采用淘汰赛和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附加赛决出 1-8 名。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分组方法：视考生人数，确定组数后，按运动技术等级高低排序，等级高者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先抽签确定签位，下一级别考生的起始签位根据上一级别签位确定。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例，运动健将 2 人，2 人一批按蛇形排列方法，抽签先确定 1、2 号签位；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一级运动员 3 人，3 人一批按蛇形排列方法，抽签确定 3，4，5 号签位；二级运动员起始签位从 6 号开始。以此类推进行分组。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其他内容参照中国乒乓球协会审定的乒乓球竞赛规则执行。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（2）评分标准：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比赛成绩=（N-R+1）/N×65+35，其中 N 为该专项考试人数，R 为比赛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名次。 </w:t>
      </w: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1102"/>
    <w:multiLevelType w:val="singleLevel"/>
    <w:tmpl w:val="34F811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C1EFC"/>
    <w:rsid w:val="0B8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2020-06-03T14:31:00Z</dcterms:created>
  <dc:creator>读夕阳</dc:creator>
  <cp:lastModifiedBy>读夕阳</cp:lastModifiedBy>
  <dcterms:modified xsi:type="dcterms:W3CDTF">2020-06-03T14:35:51Z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